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0EA38"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Catherine Théberge</w:t>
      </w:r>
    </w:p>
    <w:p w14:paraId="052A3077"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3E91F064"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Kevin Flamand</w:t>
      </w:r>
    </w:p>
    <w:p w14:paraId="0582E9EC" w14:textId="69FA5291" w:rsidR="00B5716C" w:rsidRDefault="00B5716C" w:rsidP="00B5716C">
      <w:pPr>
        <w:shd w:val="clear" w:color="auto" w:fill="FFFFFF"/>
        <w:spacing w:after="0" w:line="480" w:lineRule="auto"/>
        <w:jc w:val="center"/>
        <w:rPr>
          <w:rFonts w:ascii="Times New Roman" w:eastAsia="Times New Roman" w:hAnsi="Times New Roman" w:cs="Times New Roman"/>
          <w:color w:val="000000"/>
          <w:sz w:val="24"/>
          <w:szCs w:val="24"/>
          <w:lang w:eastAsia="fr-CA"/>
        </w:rPr>
      </w:pPr>
    </w:p>
    <w:p w14:paraId="0AD170AD" w14:textId="77777777" w:rsidR="00685436" w:rsidRPr="00B5716C" w:rsidRDefault="00685436" w:rsidP="00B5716C">
      <w:pPr>
        <w:shd w:val="clear" w:color="auto" w:fill="FFFFFF"/>
        <w:spacing w:after="0" w:line="480" w:lineRule="auto"/>
        <w:jc w:val="center"/>
        <w:rPr>
          <w:rFonts w:ascii="Times New Roman" w:eastAsia="Times New Roman" w:hAnsi="Times New Roman" w:cs="Times New Roman"/>
          <w:sz w:val="24"/>
          <w:szCs w:val="24"/>
          <w:lang w:eastAsia="fr-CA"/>
        </w:rPr>
      </w:pPr>
    </w:p>
    <w:p w14:paraId="02918A21" w14:textId="78EBB4C5"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246CB8C8"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Dossier littéraire et didactique sur</w:t>
      </w:r>
      <w:r w:rsidRPr="009A1094">
        <w:rPr>
          <w:rFonts w:ascii="Times New Roman" w:eastAsia="Times New Roman" w:hAnsi="Times New Roman" w:cs="Times New Roman"/>
          <w:i/>
          <w:iCs/>
          <w:color w:val="000000"/>
          <w:sz w:val="24"/>
          <w:szCs w:val="24"/>
          <w:lang w:eastAsia="fr-CA"/>
        </w:rPr>
        <w:t xml:space="preserve"> Niska</w:t>
      </w:r>
    </w:p>
    <w:p w14:paraId="6FBF3D33"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p>
    <w:p w14:paraId="79F98B40" w14:textId="0A54BC0F"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756008BD" w14:textId="77777777" w:rsidR="00B5716C" w:rsidRPr="00B5716C" w:rsidRDefault="00B5716C" w:rsidP="00B5716C">
      <w:pPr>
        <w:shd w:val="clear" w:color="auto" w:fill="FFFFFF"/>
        <w:spacing w:after="0" w:line="480" w:lineRule="auto"/>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003C297C"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Travail présenté à</w:t>
      </w:r>
    </w:p>
    <w:p w14:paraId="1F10200A"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Marion Sauvaire</w:t>
      </w:r>
    </w:p>
    <w:p w14:paraId="48A9D6A2"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dans le cadre du cours </w:t>
      </w:r>
    </w:p>
    <w:p w14:paraId="369BD327"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DID 3021</w:t>
      </w:r>
    </w:p>
    <w:p w14:paraId="130051E4"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Didactique du français V : lecture et écriture de textes littéraires</w:t>
      </w:r>
    </w:p>
    <w:p w14:paraId="092D9DD6" w14:textId="3B23A539"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p>
    <w:p w14:paraId="22FCDB47" w14:textId="61865159" w:rsidR="00B5716C" w:rsidRPr="00B5716C" w:rsidRDefault="00B5716C" w:rsidP="00B5716C">
      <w:pPr>
        <w:shd w:val="clear" w:color="auto" w:fill="FFFFFF"/>
        <w:spacing w:after="0" w:line="480" w:lineRule="auto"/>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5974FFBE"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sz w:val="24"/>
          <w:szCs w:val="24"/>
          <w:lang w:eastAsia="fr-CA"/>
        </w:rPr>
        <w:t> </w:t>
      </w:r>
    </w:p>
    <w:p w14:paraId="78840AC4"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Faculté des sciences de l’éducation</w:t>
      </w:r>
    </w:p>
    <w:p w14:paraId="7C9DECDF"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Université Laval</w:t>
      </w:r>
    </w:p>
    <w:p w14:paraId="519527F6" w14:textId="77777777" w:rsidR="00B5716C" w:rsidRPr="00B5716C" w:rsidRDefault="00B5716C" w:rsidP="00B5716C">
      <w:pPr>
        <w:shd w:val="clear" w:color="auto" w:fill="FFFFFF"/>
        <w:spacing w:after="0" w:line="480" w:lineRule="auto"/>
        <w:jc w:val="center"/>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Automne 2020</w:t>
      </w:r>
      <w:r w:rsidRPr="00B5716C">
        <w:rPr>
          <w:rFonts w:ascii="Times New Roman" w:eastAsia="Times New Roman" w:hAnsi="Times New Roman" w:cs="Times New Roman"/>
          <w:i/>
          <w:iCs/>
          <w:color w:val="000000"/>
          <w:sz w:val="24"/>
          <w:szCs w:val="24"/>
          <w:lang w:eastAsia="fr-CA"/>
        </w:rPr>
        <w:br/>
      </w:r>
    </w:p>
    <w:p w14:paraId="11AA9367" w14:textId="72A9A414" w:rsidR="00B5716C" w:rsidRPr="00B5716C" w:rsidRDefault="00B5716C" w:rsidP="00B5716C">
      <w:pPr>
        <w:shd w:val="clear" w:color="auto" w:fill="FFFFFF"/>
        <w:spacing w:before="240" w:line="360" w:lineRule="auto"/>
        <w:jc w:val="both"/>
        <w:rPr>
          <w:rFonts w:ascii="Times New Roman" w:eastAsia="Times New Roman" w:hAnsi="Times New Roman" w:cs="Times New Roman"/>
          <w:color w:val="000000"/>
          <w:sz w:val="24"/>
          <w:szCs w:val="24"/>
          <w:lang w:eastAsia="fr-CA"/>
        </w:rPr>
      </w:pPr>
      <w:r w:rsidRPr="00B5716C">
        <w:rPr>
          <w:rFonts w:ascii="Times New Roman" w:eastAsia="Times New Roman" w:hAnsi="Times New Roman" w:cs="Times New Roman"/>
          <w:i/>
          <w:iCs/>
          <w:color w:val="000000"/>
          <w:sz w:val="24"/>
          <w:szCs w:val="24"/>
          <w:lang w:eastAsia="fr-CA"/>
        </w:rPr>
        <w:lastRenderedPageBreak/>
        <w:t>Niska</w:t>
      </w:r>
      <w:r w:rsidRPr="00B5716C">
        <w:rPr>
          <w:rFonts w:ascii="Times New Roman" w:eastAsia="Times New Roman" w:hAnsi="Times New Roman" w:cs="Times New Roman"/>
          <w:color w:val="000000"/>
          <w:sz w:val="24"/>
          <w:szCs w:val="24"/>
          <w:lang w:eastAsia="fr-CA"/>
        </w:rPr>
        <w:t xml:space="preserve"> est un roman d’Étienne Poirier publié en 2016 aux Éditions du soleil de minuit. Le protagoniste, Pirecic, raconte sa jeunesse à sa petite-fille Niska, qui lui demande pourquoi elle a été nommée ainsi. Il commence par brosser un portrait de son enfance passée dans la forêt du Nitaskinan avec ses parents, prélude de son départ soudain pour le pensionnat. Avant cette séparation, son père lui offre une sculpture de bernache en bois, symbole d’une promesse de retour. Tout comme l’oiseau qui revient au printemps tel qu’il était au moment de son envol pour la migration, Pirecic promet de revenir inchangé. Mais, au pensionnat, une sœur lui confisque son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fétiche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57), tout objet associé à la culture autochtone étant interdit. Par la suite, son adolescence est ponctuée par la confrontation entre son identité culturelle et l’assimilation qu’il subit, par la disparition inquiétante de ses deux amis et par une relation tendue avec son père en raison de la perte de sa statuette de bernache. La bernache,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niska</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dans la langue atikamekw, symbolise l’amour familial et l’attachement à l’identité, valeurs qui prendront les devants dans la vie de Pirecic. </w:t>
      </w:r>
    </w:p>
    <w:p w14:paraId="1D801580" w14:textId="2371D8A6" w:rsidR="00B5716C" w:rsidRDefault="00B5716C" w:rsidP="00F903F4">
      <w:pPr>
        <w:shd w:val="clear" w:color="auto" w:fill="FFFFFF"/>
        <w:spacing w:line="360" w:lineRule="auto"/>
        <w:jc w:val="both"/>
        <w:rPr>
          <w:rFonts w:ascii="Times New Roman" w:eastAsia="Times New Roman" w:hAnsi="Times New Roman" w:cs="Times New Roman"/>
          <w:color w:val="000000"/>
          <w:sz w:val="24"/>
          <w:szCs w:val="24"/>
          <w:lang w:eastAsia="fr-CA"/>
        </w:rPr>
      </w:pPr>
      <w:r w:rsidRPr="00B5716C">
        <w:rPr>
          <w:rFonts w:ascii="Times New Roman" w:eastAsia="Times New Roman" w:hAnsi="Times New Roman" w:cs="Times New Roman"/>
          <w:color w:val="000000"/>
          <w:sz w:val="24"/>
          <w:szCs w:val="24"/>
          <w:lang w:eastAsia="fr-CA"/>
        </w:rPr>
        <w:t xml:space="preserve">Dans le cadre de notre travail,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fera l’objet d’une analyse littéraire et didactique visant à préparer l’élaboration d’une séquence d’enseignement. Premièrement, nous justifierons la pertinence de choisir ce roman à partir des principes de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se guider avant tout sur les objectifs pédagogiques visés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(Simard, 1996,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88), en l’occurrence le développement du plaisir de lire et l’élargissement des savoirs culturels, et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de ne pas oublier la personne de l’enseignant et de l’enseignante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(Simard, 1996,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89). Deuxièmement, nous sélectionnerons trois approches théoriques de la lecture qui permettraient d’étudier le roman de manière à développer les compétences en lecture des élèves, soit les approches sociocritique, subjective et culturelle. Troisièmement, nous identifierons </w:t>
      </w:r>
      <w:r w:rsidR="00F903F4">
        <w:rPr>
          <w:rFonts w:ascii="Times New Roman" w:eastAsia="Times New Roman" w:hAnsi="Times New Roman" w:cs="Times New Roman"/>
          <w:color w:val="000000"/>
          <w:sz w:val="24"/>
          <w:szCs w:val="24"/>
          <w:lang w:eastAsia="fr-CA"/>
        </w:rPr>
        <w:t>un des problèmes</w:t>
      </w:r>
      <w:r w:rsidRPr="00B5716C">
        <w:rPr>
          <w:rFonts w:ascii="Times New Roman" w:eastAsia="Times New Roman" w:hAnsi="Times New Roman" w:cs="Times New Roman"/>
          <w:color w:val="000000"/>
          <w:sz w:val="24"/>
          <w:szCs w:val="24"/>
          <w:lang w:eastAsia="fr-CA"/>
        </w:rPr>
        <w:t xml:space="preserve"> de lecture que l’</w:t>
      </w:r>
      <w:r w:rsidR="00612525">
        <w:rPr>
          <w:rFonts w:ascii="Times New Roman" w:eastAsia="Times New Roman" w:hAnsi="Times New Roman" w:cs="Times New Roman"/>
          <w:color w:val="000000"/>
          <w:sz w:val="24"/>
          <w:szCs w:val="24"/>
          <w:lang w:eastAsia="fr-CA"/>
        </w:rPr>
        <w:t>œ</w:t>
      </w:r>
      <w:r w:rsidRPr="00B5716C">
        <w:rPr>
          <w:rFonts w:ascii="Times New Roman" w:eastAsia="Times New Roman" w:hAnsi="Times New Roman" w:cs="Times New Roman"/>
          <w:color w:val="000000"/>
          <w:sz w:val="24"/>
          <w:szCs w:val="24"/>
          <w:lang w:eastAsia="fr-CA"/>
        </w:rPr>
        <w:t>uvre risque de poser aux élèves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 </w:t>
      </w:r>
      <w:r w:rsidR="00F903F4">
        <w:rPr>
          <w:rFonts w:ascii="Times New Roman" w:eastAsia="Times New Roman" w:hAnsi="Times New Roman" w:cs="Times New Roman"/>
          <w:color w:val="000000"/>
          <w:sz w:val="24"/>
          <w:szCs w:val="24"/>
          <w:lang w:eastAsia="fr-CA"/>
        </w:rPr>
        <w:t>le</w:t>
      </w:r>
      <w:r w:rsidRPr="00B5716C">
        <w:rPr>
          <w:rFonts w:ascii="Times New Roman" w:eastAsia="Times New Roman" w:hAnsi="Times New Roman" w:cs="Times New Roman"/>
          <w:color w:val="000000"/>
          <w:sz w:val="24"/>
          <w:szCs w:val="24"/>
          <w:lang w:eastAsia="fr-CA"/>
        </w:rPr>
        <w:t xml:space="preserve"> problème d’interprétation en lien avec</w:t>
      </w:r>
      <w:r w:rsidR="00F903F4">
        <w:rPr>
          <w:rFonts w:ascii="Times New Roman" w:eastAsia="Times New Roman" w:hAnsi="Times New Roman" w:cs="Times New Roman"/>
          <w:color w:val="000000"/>
          <w:sz w:val="24"/>
          <w:szCs w:val="24"/>
          <w:lang w:eastAsia="fr-CA"/>
        </w:rPr>
        <w:t xml:space="preserve"> l’origine</w:t>
      </w:r>
      <w:r w:rsidRPr="00B5716C">
        <w:rPr>
          <w:rFonts w:ascii="Times New Roman" w:eastAsia="Times New Roman" w:hAnsi="Times New Roman" w:cs="Times New Roman"/>
          <w:color w:val="000000"/>
          <w:sz w:val="24"/>
          <w:szCs w:val="24"/>
          <w:lang w:eastAsia="fr-CA"/>
        </w:rPr>
        <w:t xml:space="preserve"> </w:t>
      </w:r>
      <w:r w:rsidR="00F903F4">
        <w:rPr>
          <w:rFonts w:ascii="Times New Roman" w:eastAsia="Times New Roman" w:hAnsi="Times New Roman" w:cs="Times New Roman"/>
          <w:color w:val="000000"/>
          <w:sz w:val="24"/>
          <w:szCs w:val="24"/>
          <w:lang w:eastAsia="fr-CA"/>
        </w:rPr>
        <w:t>du</w:t>
      </w:r>
      <w:r w:rsidRPr="00B5716C">
        <w:rPr>
          <w:rFonts w:ascii="Times New Roman" w:eastAsia="Times New Roman" w:hAnsi="Times New Roman" w:cs="Times New Roman"/>
          <w:color w:val="000000"/>
          <w:sz w:val="24"/>
          <w:szCs w:val="24"/>
          <w:lang w:eastAsia="fr-CA"/>
        </w:rPr>
        <w:t xml:space="preserve"> prénom de Niska. Quatrièmement, nous identifierons les connaissances historiques nécessaires pour étudier l’</w:t>
      </w:r>
      <w:r w:rsidR="00612525">
        <w:rPr>
          <w:rFonts w:ascii="Times New Roman" w:eastAsia="Times New Roman" w:hAnsi="Times New Roman" w:cs="Times New Roman"/>
          <w:color w:val="000000"/>
          <w:sz w:val="24"/>
          <w:szCs w:val="24"/>
          <w:lang w:eastAsia="fr-CA"/>
        </w:rPr>
        <w:t>œ</w:t>
      </w:r>
      <w:r w:rsidRPr="00B5716C">
        <w:rPr>
          <w:rFonts w:ascii="Times New Roman" w:eastAsia="Times New Roman" w:hAnsi="Times New Roman" w:cs="Times New Roman"/>
          <w:color w:val="000000"/>
          <w:sz w:val="24"/>
          <w:szCs w:val="24"/>
          <w:lang w:eastAsia="fr-CA"/>
        </w:rPr>
        <w:t xml:space="preserve">uvre avec les élèves. Enfin, à la lumière de cette analyse, nous dégagerons quelques objectifs que nous pourrions fixer aux élèves dans le cadre de la séquence didactique sur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w:t>
      </w:r>
    </w:p>
    <w:p w14:paraId="6A508397" w14:textId="170D2BD8" w:rsidR="00B5716C" w:rsidRPr="00B5716C" w:rsidRDefault="00B5716C" w:rsidP="00B5716C">
      <w:pPr>
        <w:shd w:val="clear" w:color="auto" w:fill="DBDBDB" w:themeFill="accent3" w:themeFillTint="66"/>
        <w:spacing w:after="0" w:line="24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Justification du choix de l’</w:t>
      </w:r>
      <w:r w:rsidR="00612525">
        <w:rPr>
          <w:rFonts w:ascii="Times New Roman" w:eastAsia="Times New Roman" w:hAnsi="Times New Roman" w:cs="Times New Roman"/>
          <w:color w:val="000000"/>
          <w:sz w:val="24"/>
          <w:szCs w:val="24"/>
          <w:lang w:eastAsia="fr-CA"/>
        </w:rPr>
        <w:t>œ</w:t>
      </w:r>
      <w:r w:rsidRPr="00B5716C">
        <w:rPr>
          <w:rFonts w:ascii="Times New Roman" w:eastAsia="Times New Roman" w:hAnsi="Times New Roman" w:cs="Times New Roman"/>
          <w:color w:val="000000"/>
          <w:sz w:val="24"/>
          <w:szCs w:val="24"/>
          <w:lang w:eastAsia="fr-CA"/>
        </w:rPr>
        <w:t>uvre</w:t>
      </w:r>
    </w:p>
    <w:p w14:paraId="382FC11A" w14:textId="7B16EF6A" w:rsidR="00B5716C" w:rsidRPr="00B5716C" w:rsidRDefault="00B5716C" w:rsidP="00B5716C">
      <w:pPr>
        <w:shd w:val="clear" w:color="auto" w:fill="FFFFFF"/>
        <w:spacing w:before="240" w:line="360" w:lineRule="auto"/>
        <w:jc w:val="both"/>
        <w:rPr>
          <w:rFonts w:ascii="Times New Roman" w:eastAsia="Times New Roman" w:hAnsi="Times New Roman" w:cs="Times New Roman"/>
          <w:color w:val="000000"/>
          <w:sz w:val="24"/>
          <w:szCs w:val="24"/>
          <w:lang w:eastAsia="fr-CA"/>
        </w:rPr>
      </w:pPr>
      <w:r w:rsidRPr="00B5716C">
        <w:rPr>
          <w:rFonts w:ascii="Times New Roman" w:eastAsia="Times New Roman" w:hAnsi="Times New Roman" w:cs="Times New Roman"/>
          <w:i/>
          <w:iCs/>
          <w:color w:val="000000"/>
          <w:sz w:val="24"/>
          <w:szCs w:val="24"/>
          <w:lang w:eastAsia="fr-CA"/>
        </w:rPr>
        <w:t xml:space="preserve">Niska </w:t>
      </w:r>
      <w:r w:rsidRPr="00B5716C">
        <w:rPr>
          <w:rFonts w:ascii="Times New Roman" w:eastAsia="Times New Roman" w:hAnsi="Times New Roman" w:cs="Times New Roman"/>
          <w:color w:val="000000"/>
          <w:sz w:val="24"/>
          <w:szCs w:val="24"/>
          <w:lang w:eastAsia="fr-CA"/>
        </w:rPr>
        <w:t xml:space="preserve">recouvre de nombreux thèmes rattachés à l’adolescence, tels que la quête identitaire, la révolte contre l’autorité, les problèmes familiaux et la différence. Ainsi, bien que le </w:t>
      </w:r>
      <w:r w:rsidRPr="00B5716C">
        <w:rPr>
          <w:rFonts w:ascii="Times New Roman" w:eastAsia="Times New Roman" w:hAnsi="Times New Roman" w:cs="Times New Roman"/>
          <w:color w:val="000000"/>
          <w:sz w:val="24"/>
          <w:szCs w:val="24"/>
          <w:lang w:eastAsia="fr-CA"/>
        </w:rPr>
        <w:lastRenderedPageBreak/>
        <w:t xml:space="preserve">protagoniste vive dans une culture différente de la leur, les jeunes lecteurs seront appelés à s’identifier à lui et à sa tumultueuse entrée dans l’adolescence. Même si certains des thèmes abordés sont lourds et complexes — le viol et le racisme, par exemple —,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parvient à les explorer en s’adaptant à la maturité d’un jeune public avec un langage simple et touchant. Ce roman est donc adapté aux élèves du secondaire et s’aligne bien avec l’objectif pédagogique de favoriser le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développement du go</w:t>
      </w:r>
      <w:r w:rsidR="00612525">
        <w:rPr>
          <w:rFonts w:ascii="Times New Roman" w:eastAsia="Times New Roman" w:hAnsi="Times New Roman" w:cs="Times New Roman"/>
          <w:color w:val="000000"/>
          <w:sz w:val="24"/>
          <w:szCs w:val="24"/>
          <w:lang w:eastAsia="fr-CA"/>
        </w:rPr>
        <w:t>u</w:t>
      </w:r>
      <w:r w:rsidRPr="00B5716C">
        <w:rPr>
          <w:rFonts w:ascii="Times New Roman" w:eastAsia="Times New Roman" w:hAnsi="Times New Roman" w:cs="Times New Roman"/>
          <w:color w:val="000000"/>
          <w:sz w:val="24"/>
          <w:szCs w:val="24"/>
          <w:lang w:eastAsia="fr-CA"/>
        </w:rPr>
        <w:t>t et de l’habitude de lire des textes littéraires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(Simard, 1996,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89) chez les élèves ou, autrement dit, le plaisir de lire.</w:t>
      </w:r>
    </w:p>
    <w:p w14:paraId="663F1B5B" w14:textId="316C0AF1" w:rsidR="00B5716C" w:rsidRPr="00B5716C" w:rsidRDefault="00B5716C" w:rsidP="00B5716C">
      <w:pPr>
        <w:shd w:val="clear" w:color="auto" w:fill="FFFFFF"/>
        <w:spacing w:line="36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Également,</w:t>
      </w:r>
      <w:r w:rsidRPr="00B5716C">
        <w:rPr>
          <w:rFonts w:ascii="Times New Roman" w:eastAsia="Times New Roman" w:hAnsi="Times New Roman" w:cs="Times New Roman"/>
          <w:i/>
          <w:iCs/>
          <w:color w:val="000000"/>
          <w:sz w:val="24"/>
          <w:szCs w:val="24"/>
          <w:lang w:eastAsia="fr-CA"/>
        </w:rPr>
        <w:t xml:space="preserve"> Niska </w:t>
      </w:r>
      <w:r w:rsidRPr="00B5716C">
        <w:rPr>
          <w:rFonts w:ascii="Times New Roman" w:eastAsia="Times New Roman" w:hAnsi="Times New Roman" w:cs="Times New Roman"/>
          <w:color w:val="000000"/>
          <w:sz w:val="24"/>
          <w:szCs w:val="24"/>
          <w:lang w:eastAsia="fr-CA"/>
        </w:rPr>
        <w:t xml:space="preserve">relate un pan souvent négligé de l’histoire du Canada, en plus de pousser le lecteur à se questionner sur la notion de crime contre la culture et sur le rôle de la littérature nationale face à de telles persécutions. Par le biais de ce roman, un enseignant pourrait amener ses élèves à se représenter les romans comme des objets culturels porteurs d’idées et de valeurs reflétant la singularité d’un peuple et de sa culture. Il serait par ailleurs possible d’explorer parallèlement des textes brefs tels que des légendes et des poèmes lyriques s’inscrivant dans la même culture que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Ce roman est donc un bon moyen d’atteindre des visées formatives en lien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l’élargissement du savoir culturel des jeunes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(Simard, 1996,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88) et de faire valoir la pertinence d’un patrimoine littéraire dans la lutte contre les injustices et les préjugés.</w:t>
      </w:r>
    </w:p>
    <w:p w14:paraId="59E421E2" w14:textId="1E199FF6" w:rsidR="00B5716C" w:rsidRPr="00B5716C" w:rsidRDefault="00B5716C" w:rsidP="00F903F4">
      <w:pPr>
        <w:shd w:val="clear" w:color="auto" w:fill="FFFFFF"/>
        <w:spacing w:line="360" w:lineRule="auto"/>
        <w:jc w:val="both"/>
        <w:rPr>
          <w:rFonts w:ascii="Times New Roman" w:eastAsia="Times New Roman" w:hAnsi="Times New Roman" w:cs="Times New Roman"/>
          <w:color w:val="000000"/>
          <w:sz w:val="24"/>
          <w:szCs w:val="24"/>
          <w:lang w:eastAsia="fr-CA"/>
        </w:rPr>
      </w:pPr>
      <w:r w:rsidRPr="00B5716C">
        <w:rPr>
          <w:rFonts w:ascii="Times New Roman" w:eastAsia="Times New Roman" w:hAnsi="Times New Roman" w:cs="Times New Roman"/>
          <w:color w:val="000000"/>
          <w:sz w:val="24"/>
          <w:szCs w:val="24"/>
          <w:lang w:eastAsia="fr-CA"/>
        </w:rPr>
        <w:t xml:space="preserve">Pour notre équipe,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serait un choix judicieux</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 un des coéquipiers étant natif de Manawan, réserve où l’enfance du protagoniste du roman se déroule, ce dernier pourra utiliser à son avantage sa connaissance de la langue, de l’histoire et de la réalité actuelle des Atikamekws pour susciter l’intérêt des élèves et pour enrichir leur compréhension. Son appartenance à Manawan ainsi que son amour pour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contribueront à rendre la lecture plus significative aux yeux des élèves et à les engager dans les activités d’apprentissage qui y seront liées. Après tout,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c’est souvent grâce à [la] passion [de l’enseignant] que se produit l’apprentissage [et] il importe que les enseignants exploitent autant que possible des textes qui les rejoignent et qu’ils aiment eux-mêmes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(Simard, 1996,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89).</w:t>
      </w:r>
    </w:p>
    <w:p w14:paraId="6677DF4D" w14:textId="04D019FD" w:rsidR="00B5716C" w:rsidRPr="00B5716C" w:rsidRDefault="00B5716C" w:rsidP="00B5716C">
      <w:pPr>
        <w:shd w:val="clear" w:color="auto" w:fill="DBDBDB" w:themeFill="accent3" w:themeFillTint="66"/>
        <w:spacing w:after="0" w:line="24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Analyse de l’</w:t>
      </w:r>
      <w:r w:rsidR="00612525">
        <w:rPr>
          <w:rFonts w:ascii="Times New Roman" w:eastAsia="Times New Roman" w:hAnsi="Times New Roman" w:cs="Times New Roman"/>
          <w:color w:val="000000"/>
          <w:sz w:val="24"/>
          <w:szCs w:val="24"/>
          <w:lang w:eastAsia="fr-CA"/>
        </w:rPr>
        <w:t>œ</w:t>
      </w:r>
      <w:r w:rsidRPr="00B5716C">
        <w:rPr>
          <w:rFonts w:ascii="Times New Roman" w:eastAsia="Times New Roman" w:hAnsi="Times New Roman" w:cs="Times New Roman"/>
          <w:color w:val="000000"/>
          <w:sz w:val="24"/>
          <w:szCs w:val="24"/>
          <w:lang w:eastAsia="fr-CA"/>
        </w:rPr>
        <w:t>uvre selon les approches vues en classe</w:t>
      </w:r>
    </w:p>
    <w:p w14:paraId="2C8EDBEF" w14:textId="58A4B481" w:rsidR="00B5716C" w:rsidRPr="00B5716C" w:rsidRDefault="00B5716C" w:rsidP="0002149D">
      <w:pPr>
        <w:spacing w:before="240" w:line="360" w:lineRule="auto"/>
        <w:jc w:val="both"/>
        <w:rPr>
          <w:rFonts w:ascii="Times New Roman" w:eastAsia="Times New Roman" w:hAnsi="Times New Roman" w:cs="Times New Roman"/>
          <w:color w:val="000000"/>
          <w:sz w:val="24"/>
          <w:szCs w:val="24"/>
          <w:lang w:eastAsia="fr-CA"/>
        </w:rPr>
      </w:pP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est un roman engagé qui se prête bien à une approche sociocritique de la littérature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il sensibilise le lecteur à ce que l’auteur désigne d’emblée comme le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pire crime contre l’humanité commis en territoire canadien</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13). Comme les </w:t>
      </w:r>
      <w:r w:rsidRPr="00B5716C">
        <w:rPr>
          <w:rFonts w:ascii="Times New Roman" w:eastAsia="Times New Roman" w:hAnsi="Times New Roman" w:cs="Times New Roman"/>
          <w:color w:val="000000"/>
          <w:sz w:val="24"/>
          <w:szCs w:val="24"/>
          <w:lang w:eastAsia="fr-CA"/>
        </w:rPr>
        <w:lastRenderedPageBreak/>
        <w:t xml:space="preserve">communautés autochtones qui vivent aujourd’hui </w:t>
      </w:r>
      <w:r w:rsidR="00891788">
        <w:rPr>
          <w:rFonts w:ascii="Times New Roman" w:eastAsia="Times New Roman" w:hAnsi="Times New Roman" w:cs="Times New Roman"/>
          <w:color w:val="000000"/>
          <w:sz w:val="24"/>
          <w:szCs w:val="24"/>
          <w:lang w:eastAsia="fr-CA"/>
        </w:rPr>
        <w:t>au</w:t>
      </w:r>
      <w:r w:rsidRPr="00B5716C">
        <w:rPr>
          <w:rFonts w:ascii="Times New Roman" w:eastAsia="Times New Roman" w:hAnsi="Times New Roman" w:cs="Times New Roman"/>
          <w:color w:val="000000"/>
          <w:sz w:val="24"/>
          <w:szCs w:val="24"/>
          <w:lang w:eastAsia="fr-CA"/>
        </w:rPr>
        <w:t xml:space="preserve"> Québec subissent encore les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conséquences des actes posés par [les] institutions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13) canadiennes, il para</w:t>
      </w:r>
      <w:r w:rsidR="00612525">
        <w:rPr>
          <w:rFonts w:ascii="Times New Roman" w:eastAsia="Times New Roman" w:hAnsi="Times New Roman" w:cs="Times New Roman"/>
          <w:color w:val="000000"/>
          <w:sz w:val="24"/>
          <w:szCs w:val="24"/>
          <w:lang w:eastAsia="fr-CA"/>
        </w:rPr>
        <w:t>i</w:t>
      </w:r>
      <w:r w:rsidRPr="00B5716C">
        <w:rPr>
          <w:rFonts w:ascii="Times New Roman" w:eastAsia="Times New Roman" w:hAnsi="Times New Roman" w:cs="Times New Roman"/>
          <w:color w:val="000000"/>
          <w:sz w:val="24"/>
          <w:szCs w:val="24"/>
          <w:lang w:eastAsia="fr-CA"/>
        </w:rPr>
        <w:t>t nécessaire d’insister sur ce</w:t>
      </w:r>
      <w:r w:rsidR="00891788">
        <w:rPr>
          <w:rFonts w:ascii="Times New Roman" w:eastAsia="Times New Roman" w:hAnsi="Times New Roman" w:cs="Times New Roman"/>
          <w:color w:val="000000"/>
          <w:sz w:val="24"/>
          <w:szCs w:val="24"/>
          <w:lang w:eastAsia="fr-CA"/>
        </w:rPr>
        <w:t>t év</w:t>
      </w:r>
      <w:r w:rsidR="00612525">
        <w:rPr>
          <w:rFonts w:ascii="Times New Roman" w:eastAsia="Times New Roman" w:hAnsi="Times New Roman" w:cs="Times New Roman"/>
          <w:color w:val="000000"/>
          <w:sz w:val="24"/>
          <w:szCs w:val="24"/>
          <w:lang w:eastAsia="fr-CA"/>
        </w:rPr>
        <w:t>è</w:t>
      </w:r>
      <w:r w:rsidR="00891788">
        <w:rPr>
          <w:rFonts w:ascii="Times New Roman" w:eastAsia="Times New Roman" w:hAnsi="Times New Roman" w:cs="Times New Roman"/>
          <w:color w:val="000000"/>
          <w:sz w:val="24"/>
          <w:szCs w:val="24"/>
          <w:lang w:eastAsia="fr-CA"/>
        </w:rPr>
        <w:t xml:space="preserve">nement </w:t>
      </w:r>
      <w:r w:rsidRPr="00B5716C">
        <w:rPr>
          <w:rFonts w:ascii="Times New Roman" w:eastAsia="Times New Roman" w:hAnsi="Times New Roman" w:cs="Times New Roman"/>
          <w:color w:val="000000"/>
          <w:sz w:val="24"/>
          <w:szCs w:val="24"/>
          <w:lang w:eastAsia="fr-CA"/>
        </w:rPr>
        <w:t>passé, surtout auprès de futurs citoyens tels que les élèves</w:t>
      </w:r>
      <w:r w:rsidR="00891788">
        <w:rPr>
          <w:rFonts w:ascii="Times New Roman" w:eastAsia="Times New Roman" w:hAnsi="Times New Roman" w:cs="Times New Roman"/>
          <w:color w:val="000000"/>
          <w:sz w:val="24"/>
          <w:szCs w:val="24"/>
          <w:lang w:eastAsia="fr-CA"/>
        </w:rPr>
        <w:t> : i</w:t>
      </w:r>
      <w:r w:rsidRPr="00B5716C">
        <w:rPr>
          <w:rFonts w:ascii="Times New Roman" w:eastAsia="Times New Roman" w:hAnsi="Times New Roman" w:cs="Times New Roman"/>
          <w:color w:val="000000"/>
          <w:sz w:val="24"/>
          <w:szCs w:val="24"/>
          <w:lang w:eastAsia="fr-CA"/>
        </w:rPr>
        <w:t>l importe</w:t>
      </w:r>
      <w:r w:rsidR="00891788">
        <w:rPr>
          <w:rFonts w:ascii="Times New Roman" w:eastAsia="Times New Roman" w:hAnsi="Times New Roman" w:cs="Times New Roman"/>
          <w:color w:val="000000"/>
          <w:sz w:val="24"/>
          <w:szCs w:val="24"/>
          <w:lang w:eastAsia="fr-CA"/>
        </w:rPr>
        <w:t xml:space="preserve"> de questionner </w:t>
      </w:r>
      <w:r w:rsidRPr="00B5716C">
        <w:rPr>
          <w:rFonts w:ascii="Times New Roman" w:eastAsia="Times New Roman" w:hAnsi="Times New Roman" w:cs="Times New Roman"/>
          <w:color w:val="000000"/>
          <w:sz w:val="24"/>
          <w:szCs w:val="24"/>
          <w:lang w:eastAsia="fr-CA"/>
        </w:rPr>
        <w:t>les normes, les valeurs et les comportements de la société québécoise d</w:t>
      </w:r>
      <w:r w:rsidR="00612525">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hier et d’aujourd’hui</w:t>
      </w:r>
      <w:r w:rsidR="00891788">
        <w:rPr>
          <w:rFonts w:ascii="Times New Roman" w:eastAsia="Times New Roman" w:hAnsi="Times New Roman" w:cs="Times New Roman"/>
          <w:color w:val="000000"/>
          <w:sz w:val="24"/>
          <w:szCs w:val="24"/>
          <w:lang w:eastAsia="fr-CA"/>
        </w:rPr>
        <w:t xml:space="preserve"> </w:t>
      </w:r>
      <w:r w:rsidR="00891788" w:rsidRPr="00B5716C">
        <w:rPr>
          <w:rFonts w:ascii="Times New Roman" w:eastAsia="Times New Roman" w:hAnsi="Times New Roman" w:cs="Times New Roman"/>
          <w:color w:val="000000"/>
          <w:sz w:val="24"/>
          <w:szCs w:val="24"/>
          <w:lang w:eastAsia="fr-CA"/>
        </w:rPr>
        <w:t>avant de participer à la vie démocratique</w:t>
      </w:r>
      <w:r w:rsidR="00891788">
        <w:rPr>
          <w:rFonts w:ascii="Times New Roman" w:eastAsia="Times New Roman" w:hAnsi="Times New Roman" w:cs="Times New Roman"/>
          <w:color w:val="000000"/>
          <w:sz w:val="24"/>
          <w:szCs w:val="24"/>
          <w:lang w:eastAsia="fr-CA"/>
        </w:rPr>
        <w:t xml:space="preserve">.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offre justement une porte d’entrée vers la formation civique des élèves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w:t>
      </w:r>
      <w:r w:rsidR="00891788">
        <w:rPr>
          <w:rFonts w:ascii="Times New Roman" w:eastAsia="Times New Roman" w:hAnsi="Times New Roman" w:cs="Times New Roman"/>
          <w:color w:val="000000"/>
          <w:sz w:val="24"/>
          <w:szCs w:val="24"/>
          <w:lang w:eastAsia="fr-CA"/>
        </w:rPr>
        <w:t xml:space="preserve"> </w:t>
      </w:r>
      <w:r w:rsidR="00EA0C84">
        <w:rPr>
          <w:rFonts w:ascii="Times New Roman" w:eastAsia="Times New Roman" w:hAnsi="Times New Roman" w:cs="Times New Roman"/>
          <w:color w:val="000000"/>
          <w:sz w:val="24"/>
          <w:szCs w:val="24"/>
          <w:lang w:eastAsia="fr-CA"/>
        </w:rPr>
        <w:t>les injustices vécues par Pirecic</w:t>
      </w:r>
      <w:r w:rsidR="00EA0C84" w:rsidRPr="00B5716C">
        <w:rPr>
          <w:rFonts w:ascii="Times New Roman" w:eastAsia="Times New Roman" w:hAnsi="Times New Roman" w:cs="Times New Roman"/>
          <w:color w:val="000000"/>
          <w:sz w:val="24"/>
          <w:szCs w:val="24"/>
          <w:lang w:eastAsia="fr-CA"/>
        </w:rPr>
        <w:t xml:space="preserve"> illustre</w:t>
      </w:r>
      <w:r w:rsidR="00EA0C84">
        <w:rPr>
          <w:rFonts w:ascii="Times New Roman" w:eastAsia="Times New Roman" w:hAnsi="Times New Roman" w:cs="Times New Roman"/>
          <w:color w:val="000000"/>
          <w:sz w:val="24"/>
          <w:szCs w:val="24"/>
          <w:lang w:eastAsia="fr-CA"/>
        </w:rPr>
        <w:t>nt</w:t>
      </w:r>
      <w:r w:rsidR="00EA0C84" w:rsidRPr="00B5716C">
        <w:rPr>
          <w:rFonts w:ascii="Times New Roman" w:eastAsia="Times New Roman" w:hAnsi="Times New Roman" w:cs="Times New Roman"/>
          <w:color w:val="000000"/>
          <w:sz w:val="24"/>
          <w:szCs w:val="24"/>
          <w:lang w:eastAsia="fr-CA"/>
        </w:rPr>
        <w:t xml:space="preserve"> l’importance de valeurs</w:t>
      </w:r>
      <w:r w:rsidR="00EA0C84">
        <w:rPr>
          <w:rFonts w:ascii="Times New Roman" w:eastAsia="Times New Roman" w:hAnsi="Times New Roman" w:cs="Times New Roman"/>
          <w:color w:val="000000"/>
          <w:sz w:val="24"/>
          <w:szCs w:val="24"/>
          <w:lang w:eastAsia="fr-CA"/>
        </w:rPr>
        <w:t xml:space="preserve"> citoyennes</w:t>
      </w:r>
      <w:r w:rsidR="00EA0C84" w:rsidRPr="00B5716C">
        <w:rPr>
          <w:rFonts w:ascii="Times New Roman" w:eastAsia="Times New Roman" w:hAnsi="Times New Roman" w:cs="Times New Roman"/>
          <w:color w:val="000000"/>
          <w:sz w:val="24"/>
          <w:szCs w:val="24"/>
          <w:lang w:eastAsia="fr-CA"/>
        </w:rPr>
        <w:t xml:space="preserve"> telles que le respect et l’ouverture à la différenc</w:t>
      </w:r>
      <w:r w:rsidR="00EA0C84">
        <w:rPr>
          <w:rFonts w:ascii="Times New Roman" w:eastAsia="Times New Roman" w:hAnsi="Times New Roman" w:cs="Times New Roman"/>
          <w:color w:val="000000"/>
          <w:sz w:val="24"/>
          <w:szCs w:val="24"/>
          <w:lang w:eastAsia="fr-CA"/>
        </w:rPr>
        <w:t xml:space="preserve">e. </w:t>
      </w:r>
      <w:r w:rsidR="004661EB">
        <w:rPr>
          <w:rFonts w:ascii="Times New Roman" w:eastAsia="Times New Roman" w:hAnsi="Times New Roman" w:cs="Times New Roman"/>
          <w:color w:val="000000"/>
          <w:sz w:val="24"/>
          <w:szCs w:val="24"/>
          <w:lang w:eastAsia="fr-CA"/>
        </w:rPr>
        <w:t>Cela invite</w:t>
      </w:r>
      <w:r w:rsidR="00EA0C84">
        <w:rPr>
          <w:rFonts w:ascii="Times New Roman" w:eastAsia="Times New Roman" w:hAnsi="Times New Roman" w:cs="Times New Roman"/>
          <w:color w:val="000000"/>
          <w:sz w:val="24"/>
          <w:szCs w:val="24"/>
          <w:lang w:eastAsia="fr-CA"/>
        </w:rPr>
        <w:t xml:space="preserve"> le </w:t>
      </w:r>
      <w:r w:rsidR="00891788" w:rsidRPr="00B5716C">
        <w:rPr>
          <w:rFonts w:ascii="Times New Roman" w:eastAsia="Times New Roman" w:hAnsi="Times New Roman" w:cs="Times New Roman"/>
          <w:color w:val="000000"/>
          <w:sz w:val="24"/>
          <w:szCs w:val="24"/>
          <w:lang w:eastAsia="fr-CA"/>
        </w:rPr>
        <w:t>lecteur à puiser dans ses ressources axiologiques pour porter une évaluation éthique à propos de sujets très déstabilisants tels que les crimes commis par nos ancêtres et le racisme systémique dans nos institution</w:t>
      </w:r>
      <w:r w:rsidR="00EA0C84">
        <w:rPr>
          <w:rFonts w:ascii="Times New Roman" w:eastAsia="Times New Roman" w:hAnsi="Times New Roman" w:cs="Times New Roman"/>
          <w:color w:val="000000"/>
          <w:sz w:val="24"/>
          <w:szCs w:val="24"/>
          <w:lang w:eastAsia="fr-CA"/>
        </w:rPr>
        <w:t xml:space="preserve">s. </w:t>
      </w:r>
      <w:r w:rsidRPr="00B5716C">
        <w:rPr>
          <w:rFonts w:ascii="Times New Roman" w:eastAsia="Times New Roman" w:hAnsi="Times New Roman" w:cs="Times New Roman"/>
          <w:color w:val="000000"/>
          <w:sz w:val="24"/>
          <w:szCs w:val="24"/>
          <w:lang w:eastAsia="fr-CA"/>
        </w:rPr>
        <w:t xml:space="preserve">Étudier Niska avec une approche sociocritique permettra donc d’amener les élèves </w:t>
      </w:r>
      <w:r w:rsidR="00891788">
        <w:rPr>
          <w:rFonts w:ascii="Times New Roman" w:eastAsia="Times New Roman" w:hAnsi="Times New Roman" w:cs="Times New Roman"/>
          <w:color w:val="000000"/>
          <w:sz w:val="24"/>
          <w:szCs w:val="24"/>
          <w:lang w:eastAsia="fr-CA"/>
        </w:rPr>
        <w:t xml:space="preserve">à développer </w:t>
      </w:r>
      <w:r w:rsidR="0002149D">
        <w:rPr>
          <w:rFonts w:ascii="Times New Roman" w:eastAsia="Times New Roman" w:hAnsi="Times New Roman" w:cs="Times New Roman"/>
          <w:color w:val="000000"/>
          <w:sz w:val="24"/>
          <w:szCs w:val="24"/>
          <w:lang w:eastAsia="fr-CA"/>
        </w:rPr>
        <w:t>leur</w:t>
      </w:r>
      <w:r w:rsidR="00891788">
        <w:rPr>
          <w:rFonts w:ascii="Times New Roman" w:eastAsia="Times New Roman" w:hAnsi="Times New Roman" w:cs="Times New Roman"/>
          <w:color w:val="000000"/>
          <w:sz w:val="24"/>
          <w:szCs w:val="24"/>
          <w:lang w:eastAsia="fr-CA"/>
        </w:rPr>
        <w:t xml:space="preserve"> compétence </w:t>
      </w:r>
      <w:r w:rsidRPr="00B5716C">
        <w:rPr>
          <w:rFonts w:ascii="Times New Roman" w:eastAsia="Times New Roman" w:hAnsi="Times New Roman" w:cs="Times New Roman"/>
          <w:color w:val="000000"/>
          <w:sz w:val="24"/>
          <w:szCs w:val="24"/>
          <w:lang w:eastAsia="fr-CA"/>
        </w:rPr>
        <w:t>à réagir et à porter un jugement critique</w:t>
      </w:r>
      <w:r w:rsidR="00891788">
        <w:rPr>
          <w:rFonts w:ascii="Times New Roman" w:eastAsia="Times New Roman" w:hAnsi="Times New Roman" w:cs="Times New Roman"/>
          <w:color w:val="000000"/>
          <w:sz w:val="24"/>
          <w:szCs w:val="24"/>
          <w:lang w:eastAsia="fr-CA"/>
        </w:rPr>
        <w:t xml:space="preserve"> </w:t>
      </w:r>
      <w:r w:rsidR="0002149D">
        <w:rPr>
          <w:rFonts w:ascii="Times New Roman" w:eastAsia="Times New Roman" w:hAnsi="Times New Roman" w:cs="Times New Roman"/>
          <w:color w:val="000000"/>
          <w:sz w:val="24"/>
          <w:szCs w:val="24"/>
          <w:lang w:eastAsia="fr-CA"/>
        </w:rPr>
        <w:t>pendant</w:t>
      </w:r>
      <w:r w:rsidR="00891788">
        <w:rPr>
          <w:rFonts w:ascii="Times New Roman" w:eastAsia="Times New Roman" w:hAnsi="Times New Roman" w:cs="Times New Roman"/>
          <w:color w:val="000000"/>
          <w:sz w:val="24"/>
          <w:szCs w:val="24"/>
          <w:lang w:eastAsia="fr-CA"/>
        </w:rPr>
        <w:t xml:space="preserve"> </w:t>
      </w:r>
      <w:r w:rsidR="0002149D">
        <w:rPr>
          <w:rFonts w:ascii="Times New Roman" w:eastAsia="Times New Roman" w:hAnsi="Times New Roman" w:cs="Times New Roman"/>
          <w:color w:val="000000"/>
          <w:sz w:val="24"/>
          <w:szCs w:val="24"/>
          <w:lang w:eastAsia="fr-CA"/>
        </w:rPr>
        <w:t>leur</w:t>
      </w:r>
      <w:r w:rsidR="00891788">
        <w:rPr>
          <w:rFonts w:ascii="Times New Roman" w:eastAsia="Times New Roman" w:hAnsi="Times New Roman" w:cs="Times New Roman"/>
          <w:color w:val="000000"/>
          <w:sz w:val="24"/>
          <w:szCs w:val="24"/>
          <w:lang w:eastAsia="fr-CA"/>
        </w:rPr>
        <w:t xml:space="preserve"> lecture</w:t>
      </w:r>
      <w:r w:rsidRPr="00B5716C">
        <w:rPr>
          <w:rFonts w:ascii="Times New Roman" w:eastAsia="Times New Roman" w:hAnsi="Times New Roman" w:cs="Times New Roman"/>
          <w:color w:val="000000"/>
          <w:sz w:val="24"/>
          <w:szCs w:val="24"/>
          <w:lang w:eastAsia="fr-CA"/>
        </w:rPr>
        <w:t xml:space="preserve">. En plus, cette approche </w:t>
      </w:r>
      <w:r w:rsidR="0002149D">
        <w:rPr>
          <w:rFonts w:ascii="Times New Roman" w:eastAsia="Times New Roman" w:hAnsi="Times New Roman" w:cs="Times New Roman"/>
          <w:color w:val="000000"/>
          <w:sz w:val="24"/>
          <w:szCs w:val="24"/>
          <w:lang w:eastAsia="fr-CA"/>
        </w:rPr>
        <w:t>les poussera</w:t>
      </w:r>
      <w:r w:rsidRPr="00B5716C">
        <w:rPr>
          <w:rFonts w:ascii="Times New Roman" w:eastAsia="Times New Roman" w:hAnsi="Times New Roman" w:cs="Times New Roman"/>
          <w:color w:val="000000"/>
          <w:sz w:val="24"/>
          <w:szCs w:val="24"/>
          <w:lang w:eastAsia="fr-CA"/>
        </w:rPr>
        <w:t xml:space="preserve"> à mettre à profit et à acquérir des connaissances assurant une meilleure maitrise de la lecture littéraire, puisque, justement, ils étudient la conjoncture sociale dans laquelle s’enracine le récit en histoire de 3e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secondaire.</w:t>
      </w:r>
    </w:p>
    <w:p w14:paraId="0B7C1C5E" w14:textId="7F15E103" w:rsidR="00B5716C" w:rsidRPr="00B5716C" w:rsidRDefault="00B5716C" w:rsidP="0002149D">
      <w:pPr>
        <w:spacing w:line="360" w:lineRule="auto"/>
        <w:jc w:val="both"/>
        <w:rPr>
          <w:rFonts w:ascii="Times New Roman" w:eastAsia="Times New Roman" w:hAnsi="Times New Roman" w:cs="Times New Roman"/>
          <w:color w:val="000000"/>
          <w:sz w:val="24"/>
          <w:szCs w:val="24"/>
          <w:lang w:eastAsia="fr-CA"/>
        </w:rPr>
      </w:pPr>
      <w:r w:rsidRPr="00B5716C">
        <w:rPr>
          <w:rFonts w:ascii="Times New Roman" w:eastAsia="Times New Roman" w:hAnsi="Times New Roman" w:cs="Times New Roman"/>
          <w:color w:val="000000"/>
          <w:sz w:val="24"/>
          <w:szCs w:val="24"/>
          <w:lang w:eastAsia="fr-CA"/>
        </w:rPr>
        <w:t xml:space="preserve">Également,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est un roman proliférant qui gagnerait à être étudié selon une approche subjective de la littérature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le mystère du prénom de Niska renferme l’intention argumentative du roman dans son ensemble. La réponse équivoque de Pirecic aux questions de sa petite-fille engendre un problème d’interprétation, c’est-à-dire un problème déclenché par la résistance opposée par un texte en raison de sa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portée symbolique évidente et forte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 (Tauveron, 1999). En fait, le lecteur doit dégager par lui-même du sens du récit du drame familial et des injustices sociales vécus par le personnage principal pour interpréter la réponse de Pirecic. De même, les ressources épistémiques du lecteur en lien avec l’histoire du Québec ainsi que ses ressources axiologiques en lien avec les valeurs citoyennes sont des clés de lecture pour interpréter </w:t>
      </w:r>
      <w:r w:rsidR="0002149D">
        <w:rPr>
          <w:rFonts w:ascii="Times New Roman" w:eastAsia="Times New Roman" w:hAnsi="Times New Roman" w:cs="Times New Roman"/>
          <w:color w:val="000000"/>
          <w:sz w:val="24"/>
          <w:szCs w:val="24"/>
          <w:lang w:eastAsia="fr-CA"/>
        </w:rPr>
        <w:t>ce</w:t>
      </w:r>
      <w:r w:rsidRPr="00B5716C">
        <w:rPr>
          <w:rFonts w:ascii="Times New Roman" w:eastAsia="Times New Roman" w:hAnsi="Times New Roman" w:cs="Times New Roman"/>
          <w:color w:val="000000"/>
          <w:sz w:val="24"/>
          <w:szCs w:val="24"/>
          <w:lang w:eastAsia="fr-CA"/>
        </w:rPr>
        <w:t xml:space="preserve"> texte. </w:t>
      </w:r>
      <w:r w:rsidR="00612525">
        <w:rPr>
          <w:rFonts w:ascii="Times New Roman" w:eastAsia="Times New Roman" w:hAnsi="Times New Roman" w:cs="Times New Roman"/>
          <w:color w:val="000000"/>
          <w:sz w:val="24"/>
          <w:szCs w:val="24"/>
          <w:lang w:eastAsia="fr-CA"/>
        </w:rPr>
        <w:t>Par</w:t>
      </w:r>
      <w:r w:rsidRPr="00B5716C">
        <w:rPr>
          <w:rFonts w:ascii="Times New Roman" w:eastAsia="Times New Roman" w:hAnsi="Times New Roman" w:cs="Times New Roman"/>
          <w:color w:val="000000"/>
          <w:sz w:val="24"/>
          <w:szCs w:val="24"/>
          <w:lang w:eastAsia="fr-CA"/>
        </w:rPr>
        <w:t xml:space="preserve"> conséquent,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se prête bien à une approche subjective de la littérature, une approche axée sur le questionnement des interprétations, mais aussi sur l’expression subjective. Cette seconde composante de l’approche subjective s’avère tout au</w:t>
      </w:r>
      <w:r w:rsidR="00612525">
        <w:rPr>
          <w:rFonts w:ascii="Times New Roman" w:eastAsia="Times New Roman" w:hAnsi="Times New Roman" w:cs="Times New Roman"/>
          <w:color w:val="000000"/>
          <w:sz w:val="24"/>
          <w:szCs w:val="24"/>
          <w:lang w:eastAsia="fr-CA"/>
        </w:rPr>
        <w:t>ssi</w:t>
      </w:r>
      <w:r w:rsidRPr="00B5716C">
        <w:rPr>
          <w:rFonts w:ascii="Times New Roman" w:eastAsia="Times New Roman" w:hAnsi="Times New Roman" w:cs="Times New Roman"/>
          <w:color w:val="000000"/>
          <w:sz w:val="24"/>
          <w:szCs w:val="24"/>
          <w:lang w:eastAsia="fr-CA"/>
        </w:rPr>
        <w:t xml:space="preserve"> pertinente puisque, pour éveiller une réflexion sociocritique chez le lecteur, le roman mobilise ses émotions par l’empathie fictionnelle. En effet, le lecteur est amené à se glisser dans la peau d’un adolescent atikamekw et à ressentir ses peines et ses frustrations. Ainsi, le récit des épreuves traversées par le </w:t>
      </w:r>
      <w:r w:rsidRPr="00B5716C">
        <w:rPr>
          <w:rFonts w:ascii="Times New Roman" w:eastAsia="Times New Roman" w:hAnsi="Times New Roman" w:cs="Times New Roman"/>
          <w:color w:val="000000"/>
          <w:sz w:val="24"/>
          <w:szCs w:val="24"/>
          <w:lang w:eastAsia="fr-CA"/>
        </w:rPr>
        <w:lastRenderedPageBreak/>
        <w:t>personnage principal amène le lecteur à réagir, c’est-à-dire à mettre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en relation [ses] ressources subjectives </w:t>
      </w:r>
      <w:r w:rsidR="00612525">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 xml:space="preserve"> affective, axiologique, idéologique, fantasmatique, expérientielle </w:t>
      </w:r>
      <w:r w:rsidR="00612525">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 xml:space="preserve"> et des éléments du texte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(Falardeau et Sauvaire, 2015,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75), mais également à comprendre, puisque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s’interroger sur les pensées et les sentiments des personnages en adoptant leur point de vue peut devenir une habitude voire une stratégie de lecteur</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 (Larrivé, 2015) qui permet de saisir les motivations et les états mentaux des personnages. Dans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l’expérience singulière du sujet-lecteur s’avère donc particulièrement riche étant donné la pluralité des interprétations possibles et l</w:t>
      </w:r>
      <w:r w:rsidR="00612525">
        <w:rPr>
          <w:rFonts w:ascii="Times New Roman" w:eastAsia="Times New Roman" w:hAnsi="Times New Roman" w:cs="Times New Roman"/>
          <w:color w:val="000000"/>
          <w:sz w:val="24"/>
          <w:szCs w:val="24"/>
          <w:lang w:eastAsia="fr-CA"/>
        </w:rPr>
        <w:t>e</w:t>
      </w:r>
      <w:r w:rsidRPr="00B5716C">
        <w:rPr>
          <w:rFonts w:ascii="Times New Roman" w:eastAsia="Times New Roman" w:hAnsi="Times New Roman" w:cs="Times New Roman"/>
          <w:color w:val="000000"/>
          <w:sz w:val="24"/>
          <w:szCs w:val="24"/>
          <w:lang w:eastAsia="fr-CA"/>
        </w:rPr>
        <w:t xml:space="preserve"> caractère émouvant du récit de Pirecic. Ce seront surtout les compétences à réagir, à interpréter et à comprendre qu</w:t>
      </w:r>
      <w:r w:rsidR="0002149D">
        <w:rPr>
          <w:rFonts w:ascii="Times New Roman" w:eastAsia="Times New Roman" w:hAnsi="Times New Roman" w:cs="Times New Roman"/>
          <w:color w:val="000000"/>
          <w:sz w:val="24"/>
          <w:szCs w:val="24"/>
          <w:lang w:eastAsia="fr-CA"/>
        </w:rPr>
        <w:t>e permettra de développer</w:t>
      </w:r>
      <w:r w:rsidRPr="00B5716C">
        <w:rPr>
          <w:rFonts w:ascii="Times New Roman" w:eastAsia="Times New Roman" w:hAnsi="Times New Roman" w:cs="Times New Roman"/>
          <w:color w:val="000000"/>
          <w:sz w:val="24"/>
          <w:szCs w:val="24"/>
          <w:lang w:eastAsia="fr-CA"/>
        </w:rPr>
        <w:t xml:space="preserve"> l’approche subjective.</w:t>
      </w:r>
    </w:p>
    <w:p w14:paraId="77F33FDC" w14:textId="25B05BD6" w:rsidR="00B5716C" w:rsidRPr="00B5716C" w:rsidRDefault="00B5716C" w:rsidP="0002149D">
      <w:pPr>
        <w:spacing w:line="36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 xml:space="preserve">De plus,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se présente comme une </w:t>
      </w:r>
      <w:r w:rsidR="00612525">
        <w:rPr>
          <w:rFonts w:ascii="Times New Roman" w:eastAsia="Times New Roman" w:hAnsi="Times New Roman" w:cs="Times New Roman"/>
          <w:color w:val="000000"/>
          <w:sz w:val="24"/>
          <w:szCs w:val="24"/>
          <w:lang w:eastAsia="fr-CA"/>
        </w:rPr>
        <w:t>belle occasion</w:t>
      </w:r>
      <w:r w:rsidRPr="00B5716C">
        <w:rPr>
          <w:rFonts w:ascii="Times New Roman" w:eastAsia="Times New Roman" w:hAnsi="Times New Roman" w:cs="Times New Roman"/>
          <w:color w:val="000000"/>
          <w:sz w:val="24"/>
          <w:szCs w:val="24"/>
          <w:lang w:eastAsia="fr-CA"/>
        </w:rPr>
        <w:t xml:space="preserve"> d’approcher la littérature sous un angle culturel</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le roman met en scène des pratiques culturelles atikamekws telles que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les sucres, la chasse aux oies sauvages, la pêche au doré, la chasse à l’orignal [ou] la cueillette des framboises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21). Ainsi, cette </w:t>
      </w:r>
      <w:r w:rsidR="00612525">
        <w:rPr>
          <w:rFonts w:ascii="Times New Roman" w:eastAsia="Times New Roman" w:hAnsi="Times New Roman" w:cs="Times New Roman"/>
          <w:color w:val="000000"/>
          <w:sz w:val="24"/>
          <w:szCs w:val="24"/>
          <w:lang w:eastAsia="fr-CA"/>
        </w:rPr>
        <w:t>œ</w:t>
      </w:r>
      <w:r w:rsidRPr="00B5716C">
        <w:rPr>
          <w:rFonts w:ascii="Times New Roman" w:eastAsia="Times New Roman" w:hAnsi="Times New Roman" w:cs="Times New Roman"/>
          <w:color w:val="000000"/>
          <w:sz w:val="24"/>
          <w:szCs w:val="24"/>
          <w:lang w:eastAsia="fr-CA"/>
        </w:rPr>
        <w:t xml:space="preserve">uvre atteste de la singularité de la culture, des valeurs et du mode de vie de cette communauté, ce qui permettra de former les élèves à la diversité sociale et culturelle. En outre,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permet d</w:t>
      </w:r>
      <w:r w:rsidR="0002149D">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 xml:space="preserve">initier </w:t>
      </w:r>
      <w:r w:rsidR="0002149D">
        <w:rPr>
          <w:rFonts w:ascii="Times New Roman" w:eastAsia="Times New Roman" w:hAnsi="Times New Roman" w:cs="Times New Roman"/>
          <w:color w:val="000000"/>
          <w:sz w:val="24"/>
          <w:szCs w:val="24"/>
          <w:lang w:eastAsia="fr-CA"/>
        </w:rPr>
        <w:t xml:space="preserve">les élèves </w:t>
      </w:r>
      <w:r w:rsidRPr="00B5716C">
        <w:rPr>
          <w:rFonts w:ascii="Times New Roman" w:eastAsia="Times New Roman" w:hAnsi="Times New Roman" w:cs="Times New Roman"/>
          <w:color w:val="000000"/>
          <w:sz w:val="24"/>
          <w:szCs w:val="24"/>
          <w:lang w:eastAsia="fr-CA"/>
        </w:rPr>
        <w:t>aux concepts de rapport à la culture et de rapport entre les cultures. Au cours du roman, le lecteur peut observer un rapport de domination s’installer entre les cultures québécoise et atikamekw. En effet, le protagoniste se voit contraint de fréquenter une école religieuse qui le sépare de sa famille et qui proscrit la culture atikamekw. Le rapport à la culture de Pirecic subit alors plusieurs transformations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 le protagoniste rejette et défend successivement la culture atikamekw, renonçant à sa statuette pour ensuite lutter pour la retrouver et repoussant son père pour ensuite s’échiner à récupérer son estime. Ce n’est qu’après un long voyage initiatique que Pirecic en arrive à aimer sa culture et à désirer la préserver. Ainsi, les rapports à la culture et entre les cultures dépeints dans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pourraient amener les élèves à examiner les frictions qui existent entre les cultures dominantes et marginales et à se questionner sur leur rapport à leur propre culture, à celle des autres et à celle de l’école. En ajout, les jeunes lecteurs en arriveront à songer au rôle des </w:t>
      </w:r>
      <w:r w:rsidR="00612525">
        <w:rPr>
          <w:rFonts w:ascii="Times New Roman" w:eastAsia="Times New Roman" w:hAnsi="Times New Roman" w:cs="Times New Roman"/>
          <w:color w:val="000000"/>
          <w:sz w:val="24"/>
          <w:szCs w:val="24"/>
          <w:lang w:eastAsia="fr-CA"/>
        </w:rPr>
        <w:t>œ</w:t>
      </w:r>
      <w:r w:rsidRPr="00B5716C">
        <w:rPr>
          <w:rFonts w:ascii="Times New Roman" w:eastAsia="Times New Roman" w:hAnsi="Times New Roman" w:cs="Times New Roman"/>
          <w:color w:val="000000"/>
          <w:sz w:val="24"/>
          <w:szCs w:val="24"/>
          <w:lang w:eastAsia="fr-CA"/>
        </w:rPr>
        <w:t xml:space="preserve">uvres littéraires en tant qu’objets culturels, puisque </w:t>
      </w:r>
      <w:r w:rsidRPr="00B5716C">
        <w:rPr>
          <w:rFonts w:ascii="Times New Roman" w:eastAsia="Times New Roman" w:hAnsi="Times New Roman" w:cs="Times New Roman"/>
          <w:i/>
          <w:iCs/>
          <w:color w:val="000000"/>
          <w:sz w:val="24"/>
          <w:szCs w:val="24"/>
          <w:lang w:eastAsia="fr-CA"/>
        </w:rPr>
        <w:t>Niska</w:t>
      </w:r>
      <w:r w:rsidRPr="00B5716C">
        <w:rPr>
          <w:rFonts w:ascii="Times New Roman" w:eastAsia="Times New Roman" w:hAnsi="Times New Roman" w:cs="Times New Roman"/>
          <w:color w:val="000000"/>
          <w:sz w:val="24"/>
          <w:szCs w:val="24"/>
          <w:lang w:eastAsia="fr-CA"/>
        </w:rPr>
        <w:t xml:space="preserve"> parviendra certainement à faire évoluer leur rapport à la culture atikamekw, voire à démanteler certains de leurs préjugés inconscients envers les autochtones. </w:t>
      </w:r>
      <w:r w:rsidR="00612525">
        <w:rPr>
          <w:rFonts w:ascii="Times New Roman" w:eastAsia="Times New Roman" w:hAnsi="Times New Roman" w:cs="Times New Roman"/>
          <w:color w:val="000000"/>
          <w:sz w:val="24"/>
          <w:szCs w:val="24"/>
          <w:lang w:eastAsia="fr-CA"/>
        </w:rPr>
        <w:t>Par</w:t>
      </w:r>
      <w:r w:rsidRPr="00B5716C">
        <w:rPr>
          <w:rFonts w:ascii="Times New Roman" w:eastAsia="Times New Roman" w:hAnsi="Times New Roman" w:cs="Times New Roman"/>
          <w:color w:val="000000"/>
          <w:sz w:val="24"/>
          <w:szCs w:val="24"/>
          <w:lang w:eastAsia="fr-CA"/>
        </w:rPr>
        <w:t xml:space="preserve"> conséquent, ce roman montrera aux élèves l’intérêt de la lecture </w:t>
      </w:r>
      <w:r w:rsidRPr="00B5716C">
        <w:rPr>
          <w:rFonts w:ascii="Times New Roman" w:eastAsia="Times New Roman" w:hAnsi="Times New Roman" w:cs="Times New Roman"/>
          <w:color w:val="000000"/>
          <w:sz w:val="24"/>
          <w:szCs w:val="24"/>
          <w:lang w:eastAsia="fr-CA"/>
        </w:rPr>
        <w:lastRenderedPageBreak/>
        <w:t>littéraire en tant que pratique culturelle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propre à favoriser le dialogue interculturel</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et empreinte de valeurs telles que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la tolérance, la solidarité, le partage et l’ouverture d’esprit</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valeurs indispensables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dans le contexte de pluralisme actuel</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w:t>
      </w:r>
      <w:r w:rsidR="009777C1">
        <w:rPr>
          <w:rFonts w:ascii="Times New Roman" w:eastAsia="Times New Roman" w:hAnsi="Times New Roman" w:cs="Times New Roman"/>
          <w:color w:val="000000"/>
          <w:sz w:val="24"/>
          <w:szCs w:val="24"/>
          <w:lang w:eastAsia="fr-CA"/>
        </w:rPr>
        <w:t>Simard</w:t>
      </w:r>
      <w:r w:rsidRPr="00B5716C">
        <w:rPr>
          <w:rFonts w:ascii="Times New Roman" w:eastAsia="Times New Roman" w:hAnsi="Times New Roman" w:cs="Times New Roman"/>
          <w:color w:val="000000"/>
          <w:sz w:val="24"/>
          <w:szCs w:val="24"/>
          <w:lang w:eastAsia="fr-CA"/>
        </w:rPr>
        <w:t xml:space="preserve"> et al., 2010,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90). Ce sera alors avant tout la compétence à réfléchir à sa pratique de la lecture qui sera travaillée par l’intermédiaire de l’approche culturelle.</w:t>
      </w:r>
    </w:p>
    <w:p w14:paraId="49E5E491" w14:textId="77777777" w:rsidR="00B5716C" w:rsidRPr="00B5716C" w:rsidRDefault="00B5716C" w:rsidP="0002149D">
      <w:pPr>
        <w:shd w:val="clear" w:color="auto" w:fill="DBDBDB" w:themeFill="accent3" w:themeFillTint="66"/>
        <w:spacing w:after="0" w:line="24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Justification du choix d’un ou de plusieurs problèmes de lecture</w:t>
      </w:r>
    </w:p>
    <w:p w14:paraId="041166AB" w14:textId="65BE458D" w:rsidR="00B5716C" w:rsidRPr="00B5716C" w:rsidRDefault="00B5716C" w:rsidP="0002149D">
      <w:pPr>
        <w:spacing w:before="240" w:line="36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À plusieurs reprises au cours du roman, Niska réitère la même question</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Mais d’où vient mon nom</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62) Après son long récit, Pirecic offre enfin une réponse à sa petite-fille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Pour que personne n’oublie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173) et pour que Niska se rappelle qui elle est et demeure la même. Pour bien comprendre ce que ces énigmatiques paroles signifient, il est nécessaire de mettre en évidence les liens qui unissent plusieurs éléments du récit de Pirecic avec la réalité de Niska.</w:t>
      </w:r>
    </w:p>
    <w:p w14:paraId="4CCBF715" w14:textId="67AA28D6" w:rsidR="00B5716C" w:rsidRPr="00B5716C" w:rsidRDefault="00B5716C" w:rsidP="00F903F4">
      <w:pPr>
        <w:spacing w:line="36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Tout comme Pirecic lors de son adolescence au pensionnat, Niska s’éloigne de la culture atikamekw</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elle arbore une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robe de princesse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à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crinoline rose et brillante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ainsi qu’un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diadème en toc [</w:t>
      </w:r>
      <w:r w:rsidR="00612525">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 serti de fausses pierres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Elle trimbale même un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sac à main rose imprimé d’une des princesses blondes de Walt Disney</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19). Le pendentif artisanal de bernache que lui offre son grand-père détonne avec cet accoutrement rappelant plutôt la culture du divertissement et le capitalisme. Le prénom de Niska, tout comme le pendentif, se démarque d</w:t>
      </w:r>
      <w:r w:rsidR="0002149D">
        <w:rPr>
          <w:rFonts w:ascii="Times New Roman" w:eastAsia="Times New Roman" w:hAnsi="Times New Roman" w:cs="Times New Roman"/>
          <w:color w:val="000000"/>
          <w:sz w:val="24"/>
          <w:szCs w:val="24"/>
          <w:lang w:eastAsia="fr-CA"/>
        </w:rPr>
        <w:t>e</w:t>
      </w:r>
      <w:r w:rsidRPr="00B5716C">
        <w:rPr>
          <w:rFonts w:ascii="Times New Roman" w:eastAsia="Times New Roman" w:hAnsi="Times New Roman" w:cs="Times New Roman"/>
          <w:color w:val="000000"/>
          <w:sz w:val="24"/>
          <w:szCs w:val="24"/>
          <w:lang w:eastAsia="fr-CA"/>
        </w:rPr>
        <w:t xml:space="preserve"> la masse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alors que ses s</w:t>
      </w:r>
      <w:r w:rsidR="00612525">
        <w:rPr>
          <w:rFonts w:ascii="Times New Roman" w:eastAsia="Times New Roman" w:hAnsi="Times New Roman" w:cs="Times New Roman"/>
          <w:color w:val="000000"/>
          <w:sz w:val="24"/>
          <w:szCs w:val="24"/>
          <w:lang w:eastAsia="fr-CA"/>
        </w:rPr>
        <w:t>œ</w:t>
      </w:r>
      <w:r w:rsidRPr="00B5716C">
        <w:rPr>
          <w:rFonts w:ascii="Times New Roman" w:eastAsia="Times New Roman" w:hAnsi="Times New Roman" w:cs="Times New Roman"/>
          <w:color w:val="000000"/>
          <w:sz w:val="24"/>
          <w:szCs w:val="24"/>
          <w:lang w:eastAsia="fr-CA"/>
        </w:rPr>
        <w:t>urs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se nomment Madeleine, Mélina et Thérèse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20) </w:t>
      </w:r>
      <w:r w:rsidR="00612525">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 xml:space="preserve"> prénoms occidentaux </w:t>
      </w:r>
      <w:r w:rsidR="00612525">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 Niska porte un prénom atikamekw signifiant bernache, tout comme son grand-père Pirecic, dont le prénom réfère à un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petit oiseau</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w:t>
      </w:r>
      <w:r w:rsidR="009777C1" w:rsidRPr="00B5716C">
        <w:rPr>
          <w:rFonts w:ascii="Times New Roman" w:eastAsia="Times New Roman" w:hAnsi="Times New Roman" w:cs="Times New Roman"/>
          <w:color w:val="000000"/>
          <w:sz w:val="24"/>
          <w:szCs w:val="24"/>
          <w:lang w:eastAsia="fr-CA"/>
        </w:rPr>
        <w:t xml:space="preserve">Poirier, 2016, </w:t>
      </w:r>
      <w:r w:rsidRPr="00B5716C">
        <w:rPr>
          <w:rFonts w:ascii="Times New Roman" w:eastAsia="Times New Roman" w:hAnsi="Times New Roman" w:cs="Times New Roman"/>
          <w:color w:val="000000"/>
          <w:sz w:val="24"/>
          <w:szCs w:val="24"/>
          <w:lang w:eastAsia="fr-CA"/>
        </w:rPr>
        <w:t>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36). Ainsi, les deux personnages reçoivent de la part de leurs aïeuls un prénom et une sculpture en bois évoquant la culture atikamekw plutôt que la culture occidentale ambiante. Ces legs incarnent donc un héritage culturel singulier que Pirecic souhaite que personne n’oublie.</w:t>
      </w:r>
    </w:p>
    <w:p w14:paraId="788233B2" w14:textId="5859F6D9" w:rsidR="00B5716C" w:rsidRPr="00B5716C" w:rsidRDefault="00B5716C" w:rsidP="0002149D">
      <w:pPr>
        <w:spacing w:line="36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 xml:space="preserve">Également, ces traces de la culture atikamekw leur servent de repère pendant leur quête identitaire et de protection contre l’acculturation. En effet, </w:t>
      </w:r>
      <w:r w:rsidR="0002149D" w:rsidRPr="00B5716C">
        <w:rPr>
          <w:rFonts w:ascii="Times New Roman" w:eastAsia="Times New Roman" w:hAnsi="Times New Roman" w:cs="Times New Roman"/>
          <w:color w:val="000000"/>
          <w:sz w:val="24"/>
          <w:szCs w:val="24"/>
          <w:lang w:eastAsia="fr-CA"/>
        </w:rPr>
        <w:t xml:space="preserve">ces héritages </w:t>
      </w:r>
      <w:r w:rsidR="0002149D">
        <w:rPr>
          <w:rFonts w:ascii="Times New Roman" w:eastAsia="Times New Roman" w:hAnsi="Times New Roman" w:cs="Times New Roman"/>
          <w:color w:val="000000"/>
          <w:sz w:val="24"/>
          <w:szCs w:val="24"/>
          <w:lang w:eastAsia="fr-CA"/>
        </w:rPr>
        <w:t xml:space="preserve">subissent </w:t>
      </w:r>
      <w:r w:rsidRPr="00B5716C">
        <w:rPr>
          <w:rFonts w:ascii="Times New Roman" w:eastAsia="Times New Roman" w:hAnsi="Times New Roman" w:cs="Times New Roman"/>
          <w:color w:val="000000"/>
          <w:sz w:val="24"/>
          <w:szCs w:val="24"/>
          <w:lang w:eastAsia="fr-CA"/>
        </w:rPr>
        <w:t>diverses persécutions au cours du roman</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pendant son adolescence, Pirecic se voit contraint d’employer un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autre nom</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35) imposé par le curé, doit de renoncer à son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fétiche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57) en bois pour obéir à une religieuse, subit des </w:t>
      </w:r>
      <w:r w:rsidRPr="00B5716C">
        <w:rPr>
          <w:rFonts w:ascii="Times New Roman" w:eastAsia="Times New Roman" w:hAnsi="Times New Roman" w:cs="Times New Roman"/>
          <w:color w:val="000000"/>
          <w:sz w:val="24"/>
          <w:szCs w:val="24"/>
          <w:lang w:eastAsia="fr-CA"/>
        </w:rPr>
        <w:lastRenderedPageBreak/>
        <w:t>réprimandes pour avoir parlé la langue atikamekw, jugée blasphématoire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68)</w:t>
      </w:r>
      <w:r w:rsidR="0002149D">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 xml:space="preserve"> et se fait même reprocher d’avoir la peau sale par un religieux qui compare la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peau de son avant-bras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60) avec celle de Pirecic. </w:t>
      </w:r>
      <w:r w:rsidR="0002149D">
        <w:rPr>
          <w:rFonts w:ascii="Times New Roman" w:eastAsia="Times New Roman" w:hAnsi="Times New Roman" w:cs="Times New Roman"/>
          <w:color w:val="000000"/>
          <w:sz w:val="24"/>
          <w:szCs w:val="24"/>
          <w:lang w:eastAsia="fr-CA"/>
        </w:rPr>
        <w:t>Néanmoins,</w:t>
      </w:r>
      <w:r w:rsidRPr="00B5716C">
        <w:rPr>
          <w:rFonts w:ascii="Times New Roman" w:eastAsia="Times New Roman" w:hAnsi="Times New Roman" w:cs="Times New Roman"/>
          <w:color w:val="000000"/>
          <w:sz w:val="24"/>
          <w:szCs w:val="24"/>
          <w:lang w:eastAsia="fr-CA"/>
        </w:rPr>
        <w:t xml:space="preserve"> le garçon n’en conserve pas moins le même prénom, la même langue et la même couleur de peau. La décision de nommer Niska</w:t>
      </w:r>
      <w:r w:rsidR="0002149D">
        <w:rPr>
          <w:rFonts w:ascii="Times New Roman" w:eastAsia="Times New Roman" w:hAnsi="Times New Roman" w:cs="Times New Roman"/>
          <w:color w:val="000000"/>
          <w:sz w:val="24"/>
          <w:szCs w:val="24"/>
          <w:lang w:eastAsia="fr-CA"/>
        </w:rPr>
        <w:t xml:space="preserve"> ainsi</w:t>
      </w:r>
      <w:r w:rsidRPr="00B5716C">
        <w:rPr>
          <w:rFonts w:ascii="Times New Roman" w:eastAsia="Times New Roman" w:hAnsi="Times New Roman" w:cs="Times New Roman"/>
          <w:color w:val="000000"/>
          <w:sz w:val="24"/>
          <w:szCs w:val="24"/>
          <w:lang w:eastAsia="fr-CA"/>
        </w:rPr>
        <w:t xml:space="preserve"> pourrait donc s’appuyer sur l’impératif de revendiquer la culture atikamekw comme inaliénable, même sous une persécution injuste. Pirecic souhaite alors que personne n’oublie les atrocités subies par sa communauté.</w:t>
      </w:r>
    </w:p>
    <w:p w14:paraId="2B4B01CE" w14:textId="2E9AC174" w:rsidR="00F903F4" w:rsidRDefault="00B5716C" w:rsidP="00F903F4">
      <w:pPr>
        <w:spacing w:line="36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Le prénom de Niska ne semble cependant pas ne découler que de ces dernières raisons. À la fin du roman, Pirecic souligne que lui et sa petite-fille iront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à deux</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174). </w:t>
      </w:r>
      <w:r w:rsidR="0002149D">
        <w:rPr>
          <w:rFonts w:ascii="Times New Roman" w:eastAsia="Times New Roman" w:hAnsi="Times New Roman" w:cs="Times New Roman"/>
          <w:color w:val="000000"/>
          <w:sz w:val="24"/>
          <w:szCs w:val="24"/>
          <w:lang w:eastAsia="fr-CA"/>
        </w:rPr>
        <w:t>Sous</w:t>
      </w:r>
      <w:r w:rsidRPr="00B5716C">
        <w:rPr>
          <w:rFonts w:ascii="Times New Roman" w:eastAsia="Times New Roman" w:hAnsi="Times New Roman" w:cs="Times New Roman"/>
          <w:color w:val="000000"/>
          <w:sz w:val="24"/>
          <w:szCs w:val="24"/>
          <w:lang w:eastAsia="fr-CA"/>
        </w:rPr>
        <w:t xml:space="preserve"> cette dernière phrase se trouve un dessin de bernaches se déplaçant en troupeau dans une formation en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V</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La bernache ne représente donc pas seulement l’identité et l</w:t>
      </w:r>
      <w:r w:rsidR="00612525">
        <w:rPr>
          <w:rFonts w:ascii="Times New Roman" w:eastAsia="Times New Roman" w:hAnsi="Times New Roman" w:cs="Times New Roman"/>
          <w:color w:val="000000"/>
          <w:sz w:val="24"/>
          <w:szCs w:val="24"/>
          <w:lang w:eastAsia="fr-CA"/>
        </w:rPr>
        <w:t>a</w:t>
      </w:r>
      <w:r w:rsidRPr="00B5716C">
        <w:rPr>
          <w:rFonts w:ascii="Times New Roman" w:eastAsia="Times New Roman" w:hAnsi="Times New Roman" w:cs="Times New Roman"/>
          <w:color w:val="000000"/>
          <w:sz w:val="24"/>
          <w:szCs w:val="24"/>
          <w:lang w:eastAsia="fr-CA"/>
        </w:rPr>
        <w:t xml:space="preserve"> culture, mais aussi la famille et la collectivité. Dans le cabanon de son père, Pirecic retrouve par ailleurs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des centaines, des milliers d’animaux sculptés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des bernaches du Canada</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172). Ainsi, si Pirecic décide de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libére</w:t>
      </w:r>
      <w:r w:rsidR="00612525">
        <w:rPr>
          <w:rFonts w:ascii="Times New Roman" w:eastAsia="Times New Roman" w:hAnsi="Times New Roman" w:cs="Times New Roman"/>
          <w:color w:val="000000"/>
          <w:sz w:val="24"/>
          <w:szCs w:val="24"/>
          <w:lang w:eastAsia="fr-CA"/>
        </w:rPr>
        <w:t xml:space="preserve"> </w:t>
      </w:r>
      <w:r w:rsidRPr="00B5716C">
        <w:rPr>
          <w:rFonts w:ascii="Times New Roman" w:eastAsia="Times New Roman" w:hAnsi="Times New Roman" w:cs="Times New Roman"/>
          <w:color w:val="000000"/>
          <w:sz w:val="24"/>
          <w:szCs w:val="24"/>
          <w:lang w:eastAsia="fr-CA"/>
        </w:rPr>
        <w:t>[r] l’oiseau captif</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120) confisqué au pensionnat et si son père passe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à tabac [un] homme d’Église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153), ce n’est pas pour protéger </w:t>
      </w:r>
      <w:r w:rsidR="00F903F4">
        <w:rPr>
          <w:rFonts w:ascii="Times New Roman" w:eastAsia="Times New Roman" w:hAnsi="Times New Roman" w:cs="Times New Roman"/>
          <w:color w:val="000000"/>
          <w:sz w:val="24"/>
          <w:szCs w:val="24"/>
          <w:lang w:eastAsia="fr-CA"/>
        </w:rPr>
        <w:t>leur</w:t>
      </w:r>
      <w:r w:rsidRPr="00B5716C">
        <w:rPr>
          <w:rFonts w:ascii="Times New Roman" w:eastAsia="Times New Roman" w:hAnsi="Times New Roman" w:cs="Times New Roman"/>
          <w:color w:val="000000"/>
          <w:sz w:val="24"/>
          <w:szCs w:val="24"/>
          <w:lang w:eastAsia="fr-CA"/>
        </w:rPr>
        <w:t xml:space="preserve"> culture. Leur décision de braver la persécution et l’autorité découle plutôt de leur amour familial. Pirecic pourrait alors souhaiter que Niska n’oublie pas que, tout comme la bernache, elle n’est pas seule, même lorsqu’elle doit s’éloigner temporairement de sa communauté. Peut-être même que la bernache symbolise le désir de rompre avec le traumatisme générationnel causé par la violence commise envers les peuples autochtones en offrant à cette jeune </w:t>
      </w:r>
      <w:r w:rsidR="00612525">
        <w:rPr>
          <w:rFonts w:ascii="Times New Roman" w:eastAsia="Times New Roman" w:hAnsi="Times New Roman" w:cs="Times New Roman"/>
          <w:color w:val="000000"/>
          <w:sz w:val="24"/>
          <w:szCs w:val="24"/>
          <w:lang w:eastAsia="fr-CA"/>
        </w:rPr>
        <w:t>a</w:t>
      </w:r>
      <w:r w:rsidRPr="00B5716C">
        <w:rPr>
          <w:rFonts w:ascii="Times New Roman" w:eastAsia="Times New Roman" w:hAnsi="Times New Roman" w:cs="Times New Roman"/>
          <w:color w:val="000000"/>
          <w:sz w:val="24"/>
          <w:szCs w:val="24"/>
          <w:lang w:eastAsia="fr-CA"/>
        </w:rPr>
        <w:t>tikamekw de l’amour et de la solidarité</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Pirecic ne souhaite pas encombrer Niska avec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un legs qui empoisonnerait [sa] jeune existence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car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cet exercice inutile a duré des générations [et] chacune est de trop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61-62).</w:t>
      </w:r>
    </w:p>
    <w:p w14:paraId="4022C63C" w14:textId="712E0511" w:rsidR="00B5716C" w:rsidRPr="00B5716C" w:rsidRDefault="00F903F4" w:rsidP="00F903F4">
      <w:pPr>
        <w:spacing w:line="36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color w:val="000000"/>
          <w:sz w:val="24"/>
          <w:szCs w:val="24"/>
          <w:lang w:eastAsia="fr-CA"/>
        </w:rPr>
        <w:t>En somme</w:t>
      </w:r>
      <w:r w:rsidR="00B5716C" w:rsidRPr="00B5716C">
        <w:rPr>
          <w:rFonts w:ascii="Times New Roman" w:eastAsia="Times New Roman" w:hAnsi="Times New Roman" w:cs="Times New Roman"/>
          <w:color w:val="000000"/>
          <w:sz w:val="24"/>
          <w:szCs w:val="24"/>
          <w:lang w:eastAsia="fr-CA"/>
        </w:rPr>
        <w:t>, pourquoi Niska s’appelle-t-elle ainsi</w:t>
      </w:r>
      <w:r w:rsidR="00612525">
        <w:rPr>
          <w:rFonts w:ascii="Times New Roman" w:eastAsia="Times New Roman" w:hAnsi="Times New Roman" w:cs="Times New Roman"/>
          <w:color w:val="000000"/>
          <w:sz w:val="24"/>
          <w:szCs w:val="24"/>
          <w:lang w:eastAsia="fr-CA"/>
        </w:rPr>
        <w:t> </w:t>
      </w:r>
      <w:r w:rsidR="00B5716C" w:rsidRPr="00B5716C">
        <w:rPr>
          <w:rFonts w:ascii="Times New Roman" w:eastAsia="Times New Roman" w:hAnsi="Times New Roman" w:cs="Times New Roman"/>
          <w:color w:val="000000"/>
          <w:sz w:val="24"/>
          <w:szCs w:val="24"/>
          <w:lang w:eastAsia="fr-CA"/>
        </w:rPr>
        <w:t>? Plusieurs éléments du texte suggèrent que ce prénom</w:t>
      </w:r>
      <w:r w:rsidR="00801491">
        <w:rPr>
          <w:rFonts w:ascii="Times New Roman" w:eastAsia="Times New Roman" w:hAnsi="Times New Roman" w:cs="Times New Roman"/>
          <w:color w:val="000000"/>
          <w:sz w:val="24"/>
          <w:szCs w:val="24"/>
          <w:lang w:eastAsia="fr-CA"/>
        </w:rPr>
        <w:t xml:space="preserve"> </w:t>
      </w:r>
      <w:r w:rsidR="00B5716C" w:rsidRPr="00B5716C">
        <w:rPr>
          <w:rFonts w:ascii="Times New Roman" w:eastAsia="Times New Roman" w:hAnsi="Times New Roman" w:cs="Times New Roman"/>
          <w:color w:val="000000"/>
          <w:sz w:val="24"/>
          <w:szCs w:val="24"/>
          <w:lang w:eastAsia="fr-CA"/>
        </w:rPr>
        <w:t>symbolise que, tout comme les bernaches, le peuple atikamekw, resté le même «</w:t>
      </w:r>
      <w:r w:rsidR="00612525">
        <w:rPr>
          <w:rFonts w:ascii="Times New Roman" w:eastAsia="Times New Roman" w:hAnsi="Times New Roman" w:cs="Times New Roman"/>
          <w:color w:val="000000"/>
          <w:sz w:val="24"/>
          <w:szCs w:val="24"/>
          <w:lang w:eastAsia="fr-CA"/>
        </w:rPr>
        <w:t> </w:t>
      </w:r>
      <w:r w:rsidR="00B5716C" w:rsidRPr="00B5716C">
        <w:rPr>
          <w:rFonts w:ascii="Times New Roman" w:eastAsia="Times New Roman" w:hAnsi="Times New Roman" w:cs="Times New Roman"/>
          <w:color w:val="000000"/>
          <w:sz w:val="24"/>
          <w:szCs w:val="24"/>
          <w:lang w:eastAsia="fr-CA"/>
        </w:rPr>
        <w:t>depuis toujours</w:t>
      </w:r>
      <w:r w:rsidR="00612525">
        <w:rPr>
          <w:rFonts w:ascii="Times New Roman" w:eastAsia="Times New Roman" w:hAnsi="Times New Roman" w:cs="Times New Roman"/>
          <w:color w:val="000000"/>
          <w:sz w:val="24"/>
          <w:szCs w:val="24"/>
          <w:lang w:eastAsia="fr-CA"/>
        </w:rPr>
        <w:t> </w:t>
      </w:r>
      <w:r w:rsidR="00B5716C" w:rsidRPr="00B5716C">
        <w:rPr>
          <w:rFonts w:ascii="Times New Roman" w:eastAsia="Times New Roman" w:hAnsi="Times New Roman" w:cs="Times New Roman"/>
          <w:color w:val="000000"/>
          <w:sz w:val="24"/>
          <w:szCs w:val="24"/>
          <w:lang w:eastAsia="fr-CA"/>
        </w:rPr>
        <w:t>», demeurera le même «</w:t>
      </w:r>
      <w:r w:rsidR="00612525">
        <w:rPr>
          <w:rFonts w:ascii="Times New Roman" w:eastAsia="Times New Roman" w:hAnsi="Times New Roman" w:cs="Times New Roman"/>
          <w:color w:val="000000"/>
          <w:sz w:val="24"/>
          <w:szCs w:val="24"/>
          <w:lang w:eastAsia="fr-CA"/>
        </w:rPr>
        <w:t> </w:t>
      </w:r>
      <w:r w:rsidR="00B5716C" w:rsidRPr="00B5716C">
        <w:rPr>
          <w:rFonts w:ascii="Times New Roman" w:eastAsia="Times New Roman" w:hAnsi="Times New Roman" w:cs="Times New Roman"/>
          <w:color w:val="000000"/>
          <w:sz w:val="24"/>
          <w:szCs w:val="24"/>
          <w:lang w:eastAsia="fr-CA"/>
        </w:rPr>
        <w:t>pour toujours</w:t>
      </w:r>
      <w:r w:rsidR="00612525">
        <w:rPr>
          <w:rFonts w:ascii="Times New Roman" w:eastAsia="Times New Roman" w:hAnsi="Times New Roman" w:cs="Times New Roman"/>
          <w:color w:val="000000"/>
          <w:sz w:val="24"/>
          <w:szCs w:val="24"/>
          <w:lang w:eastAsia="fr-CA"/>
        </w:rPr>
        <w:t> </w:t>
      </w:r>
      <w:r w:rsidR="00B5716C"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00B5716C" w:rsidRPr="00B5716C">
        <w:rPr>
          <w:rFonts w:ascii="Times New Roman" w:eastAsia="Times New Roman" w:hAnsi="Times New Roman" w:cs="Times New Roman"/>
          <w:color w:val="000000"/>
          <w:sz w:val="24"/>
          <w:szCs w:val="24"/>
          <w:lang w:eastAsia="fr-CA"/>
        </w:rPr>
        <w:t xml:space="preserve">24), veillera à lutter contre l’acculturation qui les guette et restera </w:t>
      </w:r>
      <w:r>
        <w:rPr>
          <w:rFonts w:ascii="Times New Roman" w:eastAsia="Times New Roman" w:hAnsi="Times New Roman" w:cs="Times New Roman"/>
          <w:color w:val="000000"/>
          <w:sz w:val="24"/>
          <w:szCs w:val="24"/>
          <w:lang w:eastAsia="fr-CA"/>
        </w:rPr>
        <w:t xml:space="preserve">fort et </w:t>
      </w:r>
      <w:r w:rsidR="00B5716C" w:rsidRPr="00B5716C">
        <w:rPr>
          <w:rFonts w:ascii="Times New Roman" w:eastAsia="Times New Roman" w:hAnsi="Times New Roman" w:cs="Times New Roman"/>
          <w:color w:val="000000"/>
          <w:sz w:val="24"/>
          <w:szCs w:val="24"/>
          <w:lang w:eastAsia="fr-CA"/>
        </w:rPr>
        <w:t>soudé. </w:t>
      </w:r>
    </w:p>
    <w:p w14:paraId="42F4024B" w14:textId="3107DAA1" w:rsidR="00B5716C" w:rsidRPr="00B5716C" w:rsidRDefault="00B5716C" w:rsidP="00F903F4">
      <w:pPr>
        <w:shd w:val="clear" w:color="auto" w:fill="DBDBDB" w:themeFill="accent3" w:themeFillTint="66"/>
        <w:spacing w:line="24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Principaux savoirs à enseigner</w:t>
      </w:r>
    </w:p>
    <w:p w14:paraId="39A09DCE" w14:textId="284352F2" w:rsidR="00B5716C" w:rsidRPr="00B5716C" w:rsidRDefault="00B5716C" w:rsidP="00F903F4">
      <w:pPr>
        <w:spacing w:line="36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i/>
          <w:iCs/>
          <w:color w:val="000000"/>
          <w:sz w:val="24"/>
          <w:szCs w:val="24"/>
          <w:lang w:eastAsia="fr-CA"/>
        </w:rPr>
        <w:lastRenderedPageBreak/>
        <w:t>Niska</w:t>
      </w:r>
      <w:r w:rsidRPr="00B5716C">
        <w:rPr>
          <w:rFonts w:ascii="Times New Roman" w:eastAsia="Times New Roman" w:hAnsi="Times New Roman" w:cs="Times New Roman"/>
          <w:color w:val="000000"/>
          <w:sz w:val="24"/>
          <w:szCs w:val="24"/>
          <w:lang w:eastAsia="fr-CA"/>
        </w:rPr>
        <w:t xml:space="preserve"> entretient une forte relation avec </w:t>
      </w:r>
      <w:r w:rsidR="00F903F4">
        <w:rPr>
          <w:rFonts w:ascii="Times New Roman" w:eastAsia="Times New Roman" w:hAnsi="Times New Roman" w:cs="Times New Roman"/>
          <w:color w:val="000000"/>
          <w:sz w:val="24"/>
          <w:szCs w:val="24"/>
          <w:lang w:eastAsia="fr-CA"/>
        </w:rPr>
        <w:t>l’</w:t>
      </w:r>
      <w:r w:rsidRPr="00B5716C">
        <w:rPr>
          <w:rFonts w:ascii="Times New Roman" w:eastAsia="Times New Roman" w:hAnsi="Times New Roman" w:cs="Times New Roman"/>
          <w:color w:val="000000"/>
          <w:sz w:val="24"/>
          <w:szCs w:val="24"/>
          <w:lang w:eastAsia="fr-CA"/>
        </w:rPr>
        <w:t>histoire externe</w:t>
      </w:r>
      <w:r w:rsidR="00F903F4">
        <w:rPr>
          <w:rFonts w:ascii="Times New Roman" w:eastAsia="Times New Roman" w:hAnsi="Times New Roman" w:cs="Times New Roman"/>
          <w:color w:val="000000"/>
          <w:sz w:val="24"/>
          <w:szCs w:val="24"/>
          <w:lang w:eastAsia="fr-CA"/>
        </w:rPr>
        <w:t xml:space="preserve"> de la littérature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Étienne Poirier commence à envisager d’écrire son roman en 2015, alors que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la Commission de vérité et de réconciliation venait de déposer son rapport</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(Poirier, 2016,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13). Ainsi, </w:t>
      </w:r>
      <w:r w:rsidR="00F903F4">
        <w:rPr>
          <w:rFonts w:ascii="Times New Roman" w:eastAsia="Times New Roman" w:hAnsi="Times New Roman" w:cs="Times New Roman"/>
          <w:color w:val="000000"/>
          <w:sz w:val="24"/>
          <w:szCs w:val="24"/>
          <w:lang w:eastAsia="fr-CA"/>
        </w:rPr>
        <w:t>la teneur de ce rapport</w:t>
      </w:r>
      <w:r w:rsidRPr="00B5716C">
        <w:rPr>
          <w:rFonts w:ascii="Times New Roman" w:eastAsia="Times New Roman" w:hAnsi="Times New Roman" w:cs="Times New Roman"/>
          <w:color w:val="000000"/>
          <w:sz w:val="24"/>
          <w:szCs w:val="24"/>
          <w:lang w:eastAsia="fr-CA"/>
        </w:rPr>
        <w:t xml:space="preserve"> peut éclairer le lecteur quant à la démarche de l’auteur et au sens de son </w:t>
      </w:r>
      <w:r w:rsidR="00F903F4" w:rsidRPr="00B5716C">
        <w:rPr>
          <w:rFonts w:ascii="Times New Roman" w:eastAsia="Times New Roman" w:hAnsi="Times New Roman" w:cs="Times New Roman"/>
          <w:color w:val="000000"/>
          <w:sz w:val="24"/>
          <w:szCs w:val="24"/>
          <w:lang w:eastAsia="fr-CA"/>
        </w:rPr>
        <w:t>œuvre</w:t>
      </w:r>
      <w:r w:rsidRPr="00B5716C">
        <w:rPr>
          <w:rFonts w:ascii="Times New Roman" w:eastAsia="Times New Roman" w:hAnsi="Times New Roman" w:cs="Times New Roman"/>
          <w:color w:val="000000"/>
          <w:sz w:val="24"/>
          <w:szCs w:val="24"/>
          <w:lang w:eastAsia="fr-CA"/>
        </w:rPr>
        <w:t>.</w:t>
      </w:r>
    </w:p>
    <w:p w14:paraId="2CC702DD" w14:textId="37E3CB4D" w:rsidR="00F903F4" w:rsidRDefault="00B5716C" w:rsidP="00F903F4">
      <w:pPr>
        <w:spacing w:line="36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 xml:space="preserve">La Commission de vérité et de réconciliation a été lancée dans le cadre de la Convention de règlement relative aux pensionnats indiens, une convention collective ayant débuté en 2007. Cette convention collective visait à réparer les dommages causés par les pensionnats </w:t>
      </w:r>
      <w:r w:rsidR="00612525">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 xml:space="preserve"> des écoles religieuses financées par l’État </w:t>
      </w:r>
      <w:r w:rsidR="00612525">
        <w:rPr>
          <w:rFonts w:ascii="Times New Roman" w:eastAsia="Times New Roman" w:hAnsi="Times New Roman" w:cs="Times New Roman"/>
          <w:color w:val="000000"/>
          <w:sz w:val="24"/>
          <w:szCs w:val="24"/>
          <w:lang w:eastAsia="fr-CA"/>
        </w:rPr>
        <w:t>—</w:t>
      </w:r>
      <w:r w:rsidRPr="00B5716C">
        <w:rPr>
          <w:rFonts w:ascii="Times New Roman" w:eastAsia="Times New Roman" w:hAnsi="Times New Roman" w:cs="Times New Roman"/>
          <w:color w:val="000000"/>
          <w:sz w:val="24"/>
          <w:szCs w:val="24"/>
          <w:lang w:eastAsia="fr-CA"/>
        </w:rPr>
        <w:t xml:space="preserve"> envers 150</w:t>
      </w:r>
      <w:r w:rsidR="00612525">
        <w:rPr>
          <w:rFonts w:ascii="Times New Roman" w:eastAsia="Times New Roman" w:hAnsi="Times New Roman" w:cs="Times New Roman"/>
          <w:color w:val="000000"/>
          <w:sz w:val="24"/>
          <w:szCs w:val="24"/>
          <w:lang w:eastAsia="fr-CA"/>
        </w:rPr>
        <w:t> 000 </w:t>
      </w:r>
      <w:r w:rsidRPr="00B5716C">
        <w:rPr>
          <w:rFonts w:ascii="Times New Roman" w:eastAsia="Times New Roman" w:hAnsi="Times New Roman" w:cs="Times New Roman"/>
          <w:color w:val="000000"/>
          <w:sz w:val="24"/>
          <w:szCs w:val="24"/>
          <w:lang w:eastAsia="fr-CA"/>
        </w:rPr>
        <w:t>enfants autochtones entre 1831 et 1996 (Miller, Marshall et Gallant, 2020). Cette convention ne prend cependant forme qu’après la publication d’un rapport déplorant l’insuffisance des mesures mises en place par le gouvernement</w:t>
      </w:r>
      <w:r w:rsidR="00612525">
        <w:rPr>
          <w:rFonts w:ascii="Times New Roman" w:eastAsia="Times New Roman" w:hAnsi="Times New Roman" w:cs="Times New Roman"/>
          <w:color w:val="000000"/>
          <w:sz w:val="24"/>
          <w:szCs w:val="24"/>
          <w:lang w:eastAsia="fr-CA"/>
        </w:rPr>
        <w:t xml:space="preserve">. </w:t>
      </w:r>
      <w:r w:rsidRPr="00B5716C">
        <w:rPr>
          <w:rFonts w:ascii="Times New Roman" w:eastAsia="Times New Roman" w:hAnsi="Times New Roman" w:cs="Times New Roman"/>
          <w:color w:val="000000"/>
          <w:sz w:val="24"/>
          <w:szCs w:val="24"/>
          <w:lang w:eastAsia="fr-CA"/>
        </w:rPr>
        <w:t>En effet, le plan de règlement de conflit proposé en 2003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n’atteint pas son objectif d’indemnisation juste, équitable et porteuse de réconciliation</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(APN, 2004,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1), à l’instar de la Déclaration de réconciliation de 1998, qui omet la majorité des propositions de l’enquête menée </w:t>
      </w:r>
      <w:r w:rsidR="00F903F4" w:rsidRPr="00B5716C">
        <w:rPr>
          <w:rFonts w:ascii="Times New Roman" w:eastAsia="Times New Roman" w:hAnsi="Times New Roman" w:cs="Times New Roman"/>
          <w:color w:val="000000"/>
          <w:sz w:val="24"/>
          <w:szCs w:val="24"/>
          <w:lang w:eastAsia="fr-CA"/>
        </w:rPr>
        <w:t>à la suite de</w:t>
      </w:r>
      <w:r w:rsidRPr="00B5716C">
        <w:rPr>
          <w:rFonts w:ascii="Times New Roman" w:eastAsia="Times New Roman" w:hAnsi="Times New Roman" w:cs="Times New Roman"/>
          <w:color w:val="000000"/>
          <w:sz w:val="24"/>
          <w:szCs w:val="24"/>
          <w:lang w:eastAsia="fr-CA"/>
        </w:rPr>
        <w:t xml:space="preserve"> la crise d’Oka de 1990 (Doerr, 2015). Ainsi, le rapport de la Commission de vérité et de réconciliation publiée au moment où Poirier envisage d’écrire </w:t>
      </w:r>
      <w:r w:rsidRPr="00B5716C">
        <w:rPr>
          <w:rFonts w:ascii="Times New Roman" w:eastAsia="Times New Roman" w:hAnsi="Times New Roman" w:cs="Times New Roman"/>
          <w:i/>
          <w:iCs/>
          <w:color w:val="000000"/>
          <w:sz w:val="24"/>
          <w:szCs w:val="24"/>
          <w:lang w:eastAsia="fr-CA"/>
        </w:rPr>
        <w:t xml:space="preserve">Niska </w:t>
      </w:r>
      <w:r w:rsidRPr="00B5716C">
        <w:rPr>
          <w:rFonts w:ascii="Times New Roman" w:eastAsia="Times New Roman" w:hAnsi="Times New Roman" w:cs="Times New Roman"/>
          <w:color w:val="000000"/>
          <w:sz w:val="24"/>
          <w:szCs w:val="24"/>
          <w:lang w:eastAsia="fr-CA"/>
        </w:rPr>
        <w:t>s’inscrit dans une longue lutte pour la reconnaissance et la réparation des torts commis envers les peuples autochtones et pour la sensibilisation des Québécois au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traumatisme sévère transmis d’une génération à l’autre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(Aguiar et Halseth, 2015, p.</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xml:space="preserve">7) qu’ont engendré les pensionnats et que perpétue la stigmatisation sociale. Même en 2020, </w:t>
      </w:r>
      <w:r w:rsidRPr="00B5716C">
        <w:rPr>
          <w:rFonts w:ascii="Times New Roman" w:eastAsia="Times New Roman" w:hAnsi="Times New Roman" w:cs="Times New Roman"/>
          <w:i/>
          <w:iCs/>
          <w:color w:val="000000"/>
          <w:sz w:val="24"/>
          <w:szCs w:val="24"/>
          <w:lang w:eastAsia="fr-CA"/>
        </w:rPr>
        <w:t xml:space="preserve">Niska </w:t>
      </w:r>
      <w:r w:rsidRPr="00B5716C">
        <w:rPr>
          <w:rFonts w:ascii="Times New Roman" w:eastAsia="Times New Roman" w:hAnsi="Times New Roman" w:cs="Times New Roman"/>
          <w:color w:val="000000"/>
          <w:sz w:val="24"/>
          <w:szCs w:val="24"/>
          <w:lang w:eastAsia="fr-CA"/>
        </w:rPr>
        <w:t>reste d’actualité puisque cette lutte ne semble pas achevée</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une récente commission d’enquête souligne qu’il est «</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impossible de nier la discrimination systématique dont sont victimes les membres des Premières Nations et les Inuits dans leurs relations avec les services publics</w:t>
      </w:r>
      <w:r w:rsidR="00612525">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(Viens, 2019, p.215) encore aujourd’hui.</w:t>
      </w:r>
    </w:p>
    <w:p w14:paraId="0D031C69" w14:textId="77777777" w:rsidR="00B5716C" w:rsidRPr="00B5716C" w:rsidRDefault="00B5716C" w:rsidP="00F903F4">
      <w:pPr>
        <w:shd w:val="clear" w:color="auto" w:fill="DBDBDB" w:themeFill="accent3" w:themeFillTint="66"/>
        <w:spacing w:after="0" w:line="240" w:lineRule="auto"/>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Objectifs de la séquence</w:t>
      </w:r>
    </w:p>
    <w:p w14:paraId="123E4963" w14:textId="47AB0DE6" w:rsidR="00B5716C" w:rsidRPr="00B5716C" w:rsidRDefault="00040EDE" w:rsidP="00040EDE">
      <w:pPr>
        <w:shd w:val="clear" w:color="auto" w:fill="FFFFFF"/>
        <w:spacing w:before="240" w:line="360" w:lineRule="auto"/>
        <w:jc w:val="both"/>
        <w:rPr>
          <w:rFonts w:ascii="Times New Roman" w:eastAsia="Times New Roman" w:hAnsi="Times New Roman" w:cs="Times New Roman"/>
          <w:sz w:val="24"/>
          <w:szCs w:val="24"/>
          <w:lang w:eastAsia="fr-CA"/>
        </w:rPr>
      </w:pPr>
      <w:r>
        <w:rPr>
          <w:rFonts w:ascii="Times New Roman" w:eastAsia="Times New Roman" w:hAnsi="Times New Roman" w:cs="Times New Roman"/>
          <w:sz w:val="24"/>
          <w:szCs w:val="24"/>
          <w:lang w:eastAsia="fr-CA"/>
        </w:rPr>
        <w:t>À la lumière de notre analyse, l’objectif que nous aimerons fixer aux élèves de 3</w:t>
      </w:r>
      <w:r w:rsidRPr="00040EDE">
        <w:rPr>
          <w:rFonts w:ascii="Times New Roman" w:eastAsia="Times New Roman" w:hAnsi="Times New Roman" w:cs="Times New Roman"/>
          <w:sz w:val="24"/>
          <w:szCs w:val="24"/>
          <w:vertAlign w:val="superscript"/>
          <w:lang w:eastAsia="fr-CA"/>
        </w:rPr>
        <w:t>e</w:t>
      </w:r>
      <w:r>
        <w:rPr>
          <w:rFonts w:ascii="Times New Roman" w:eastAsia="Times New Roman" w:hAnsi="Times New Roman" w:cs="Times New Roman"/>
          <w:sz w:val="24"/>
          <w:szCs w:val="24"/>
          <w:lang w:eastAsia="fr-CA"/>
        </w:rPr>
        <w:t xml:space="preserve"> secondaire dans le cadre de la séquence didactique est d</w:t>
      </w:r>
      <w:r>
        <w:rPr>
          <w:rFonts w:ascii="Times New Roman" w:eastAsia="Times New Roman" w:hAnsi="Times New Roman" w:cs="Times New Roman"/>
          <w:color w:val="000000"/>
          <w:sz w:val="24"/>
          <w:szCs w:val="24"/>
          <w:lang w:eastAsia="fr-CA"/>
        </w:rPr>
        <w:t xml:space="preserve">e parvenir à </w:t>
      </w:r>
      <w:r w:rsidR="00B5716C" w:rsidRPr="00B5716C">
        <w:rPr>
          <w:rFonts w:ascii="Times New Roman" w:eastAsia="Times New Roman" w:hAnsi="Times New Roman" w:cs="Times New Roman"/>
          <w:color w:val="000000"/>
          <w:sz w:val="24"/>
          <w:szCs w:val="24"/>
          <w:lang w:eastAsia="fr-CA"/>
        </w:rPr>
        <w:t xml:space="preserve">interpréter </w:t>
      </w:r>
      <w:r w:rsidR="00B5716C" w:rsidRPr="00040EDE">
        <w:rPr>
          <w:rFonts w:ascii="Times New Roman" w:eastAsia="Times New Roman" w:hAnsi="Times New Roman" w:cs="Times New Roman"/>
          <w:i/>
          <w:iCs/>
          <w:color w:val="000000"/>
          <w:sz w:val="24"/>
          <w:szCs w:val="24"/>
          <w:lang w:eastAsia="fr-CA"/>
        </w:rPr>
        <w:t>Niska</w:t>
      </w:r>
      <w:r w:rsidR="00B5716C" w:rsidRPr="00B5716C">
        <w:rPr>
          <w:rFonts w:ascii="Times New Roman" w:eastAsia="Times New Roman" w:hAnsi="Times New Roman" w:cs="Times New Roman"/>
          <w:color w:val="000000"/>
          <w:sz w:val="24"/>
          <w:szCs w:val="24"/>
          <w:lang w:eastAsia="fr-CA"/>
        </w:rPr>
        <w:t xml:space="preserve"> e</w:t>
      </w:r>
      <w:r>
        <w:rPr>
          <w:rFonts w:ascii="Times New Roman" w:eastAsia="Times New Roman" w:hAnsi="Times New Roman" w:cs="Times New Roman"/>
          <w:color w:val="000000"/>
          <w:sz w:val="24"/>
          <w:szCs w:val="24"/>
          <w:lang w:eastAsia="fr-CA"/>
        </w:rPr>
        <w:t>n</w:t>
      </w:r>
      <w:r w:rsidR="00B5716C" w:rsidRPr="00B5716C">
        <w:rPr>
          <w:rFonts w:ascii="Times New Roman" w:eastAsia="Times New Roman" w:hAnsi="Times New Roman" w:cs="Times New Roman"/>
          <w:color w:val="000000"/>
          <w:sz w:val="24"/>
          <w:szCs w:val="24"/>
          <w:lang w:eastAsia="fr-CA"/>
        </w:rPr>
        <w:t xml:space="preserve"> établi</w:t>
      </w:r>
      <w:r>
        <w:rPr>
          <w:rFonts w:ascii="Times New Roman" w:eastAsia="Times New Roman" w:hAnsi="Times New Roman" w:cs="Times New Roman"/>
          <w:color w:val="000000"/>
          <w:sz w:val="24"/>
          <w:szCs w:val="24"/>
          <w:lang w:eastAsia="fr-CA"/>
        </w:rPr>
        <w:t>ssant</w:t>
      </w:r>
      <w:r w:rsidR="00B5716C" w:rsidRPr="00B5716C">
        <w:rPr>
          <w:rFonts w:ascii="Times New Roman" w:eastAsia="Times New Roman" w:hAnsi="Times New Roman" w:cs="Times New Roman"/>
          <w:color w:val="000000"/>
          <w:sz w:val="24"/>
          <w:szCs w:val="24"/>
          <w:lang w:eastAsia="fr-CA"/>
        </w:rPr>
        <w:t xml:space="preserve"> des liens entre l’</w:t>
      </w:r>
      <w:r w:rsidR="00612525">
        <w:rPr>
          <w:rFonts w:ascii="Times New Roman" w:eastAsia="Times New Roman" w:hAnsi="Times New Roman" w:cs="Times New Roman"/>
          <w:color w:val="000000"/>
          <w:sz w:val="24"/>
          <w:szCs w:val="24"/>
          <w:lang w:eastAsia="fr-CA"/>
        </w:rPr>
        <w:t>œ</w:t>
      </w:r>
      <w:r w:rsidR="00B5716C" w:rsidRPr="00B5716C">
        <w:rPr>
          <w:rFonts w:ascii="Times New Roman" w:eastAsia="Times New Roman" w:hAnsi="Times New Roman" w:cs="Times New Roman"/>
          <w:color w:val="000000"/>
          <w:sz w:val="24"/>
          <w:szCs w:val="24"/>
          <w:lang w:eastAsia="fr-CA"/>
        </w:rPr>
        <w:t>uvre et son contexte historique</w:t>
      </w:r>
      <w:r>
        <w:rPr>
          <w:rFonts w:ascii="Times New Roman" w:eastAsia="Times New Roman" w:hAnsi="Times New Roman" w:cs="Times New Roman"/>
          <w:color w:val="000000"/>
          <w:sz w:val="24"/>
          <w:szCs w:val="24"/>
          <w:lang w:eastAsia="fr-CA"/>
        </w:rPr>
        <w:t xml:space="preserve">. Cet objectif s’agence bien avec les approches sociocritique et subjective, rejoint le problème d’interprétation que nous avons souligné et mobilise les savoirs historiques que nous avons nommés. Un objectif </w:t>
      </w:r>
      <w:r>
        <w:rPr>
          <w:rFonts w:ascii="Times New Roman" w:eastAsia="Times New Roman" w:hAnsi="Times New Roman" w:cs="Times New Roman"/>
          <w:color w:val="000000"/>
          <w:sz w:val="24"/>
          <w:szCs w:val="24"/>
          <w:lang w:eastAsia="fr-CA"/>
        </w:rPr>
        <w:lastRenderedPageBreak/>
        <w:t>secondaire pourrait être d’amener les élèves à aimer la lecture littéraire et à en comprendre l’intérêt</w:t>
      </w:r>
      <w:r w:rsidR="0040324E">
        <w:rPr>
          <w:rFonts w:ascii="Times New Roman" w:eastAsia="Times New Roman" w:hAnsi="Times New Roman" w:cs="Times New Roman"/>
          <w:color w:val="000000"/>
          <w:sz w:val="24"/>
          <w:szCs w:val="24"/>
          <w:lang w:eastAsia="fr-CA"/>
        </w:rPr>
        <w:t xml:space="preserve"> personnel et collectif. Cela concorderait avec l’approche culturelle susmentionnée.</w:t>
      </w:r>
    </w:p>
    <w:p w14:paraId="11FF0EEA" w14:textId="69FBC551" w:rsidR="00B5716C" w:rsidRPr="00B5716C" w:rsidRDefault="00B5716C" w:rsidP="00F903F4">
      <w:pPr>
        <w:shd w:val="clear" w:color="auto" w:fill="DBDBDB" w:themeFill="accent3" w:themeFillTint="66"/>
        <w:spacing w:after="0" w:line="24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Conclusion</w:t>
      </w:r>
    </w:p>
    <w:p w14:paraId="243D2E0D" w14:textId="263D70F6" w:rsidR="0040324E" w:rsidRDefault="0075131C" w:rsidP="00612525">
      <w:pPr>
        <w:shd w:val="clear" w:color="auto" w:fill="FFFFFF"/>
        <w:spacing w:before="240" w:line="360" w:lineRule="auto"/>
        <w:jc w:val="both"/>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t>En somme, n</w:t>
      </w:r>
      <w:r w:rsidR="003577F8">
        <w:rPr>
          <w:rFonts w:ascii="Times New Roman" w:eastAsia="Times New Roman" w:hAnsi="Times New Roman" w:cs="Times New Roman"/>
          <w:color w:val="000000"/>
          <w:sz w:val="24"/>
          <w:szCs w:val="24"/>
          <w:lang w:eastAsia="fr-CA"/>
        </w:rPr>
        <w:t xml:space="preserve">ous pensons que </w:t>
      </w:r>
      <w:r w:rsidR="00B5716C" w:rsidRPr="00B5716C">
        <w:rPr>
          <w:rFonts w:ascii="Times New Roman" w:eastAsia="Times New Roman" w:hAnsi="Times New Roman" w:cs="Times New Roman"/>
          <w:i/>
          <w:iCs/>
          <w:color w:val="000000"/>
          <w:sz w:val="24"/>
          <w:szCs w:val="24"/>
          <w:lang w:eastAsia="fr-CA"/>
        </w:rPr>
        <w:t>Niska</w:t>
      </w:r>
      <w:r w:rsidR="00B5716C" w:rsidRPr="00B5716C">
        <w:rPr>
          <w:rFonts w:ascii="Times New Roman" w:eastAsia="Times New Roman" w:hAnsi="Times New Roman" w:cs="Times New Roman"/>
          <w:color w:val="000000"/>
          <w:sz w:val="24"/>
          <w:szCs w:val="24"/>
          <w:lang w:eastAsia="fr-CA"/>
        </w:rPr>
        <w:t xml:space="preserve"> </w:t>
      </w:r>
      <w:r w:rsidR="0040324E">
        <w:rPr>
          <w:rFonts w:ascii="Times New Roman" w:eastAsia="Times New Roman" w:hAnsi="Times New Roman" w:cs="Times New Roman"/>
          <w:color w:val="000000"/>
          <w:sz w:val="24"/>
          <w:szCs w:val="24"/>
          <w:lang w:eastAsia="fr-CA"/>
        </w:rPr>
        <w:t xml:space="preserve">offre une merveilleuse occasion de sensibiliser les élèves aux difficultés vécues par une communauté qui vit près de chez eux et de combler le manque qui existe dans le système éducatif </w:t>
      </w:r>
      <w:r w:rsidR="003577F8">
        <w:rPr>
          <w:rFonts w:ascii="Times New Roman" w:eastAsia="Times New Roman" w:hAnsi="Times New Roman" w:cs="Times New Roman"/>
          <w:color w:val="000000"/>
          <w:sz w:val="24"/>
          <w:szCs w:val="24"/>
          <w:lang w:eastAsia="fr-CA"/>
        </w:rPr>
        <w:t>québécois au sujet des peuples autochtones du Canada, d’où notre emballement à enseigner</w:t>
      </w:r>
      <w:r w:rsidR="00A0510E">
        <w:rPr>
          <w:rFonts w:ascii="Times New Roman" w:eastAsia="Times New Roman" w:hAnsi="Times New Roman" w:cs="Times New Roman"/>
          <w:color w:val="000000"/>
          <w:sz w:val="24"/>
          <w:szCs w:val="24"/>
          <w:lang w:eastAsia="fr-CA"/>
        </w:rPr>
        <w:t xml:space="preserve"> cette œuvre</w:t>
      </w:r>
      <w:r w:rsidR="003577F8">
        <w:rPr>
          <w:rFonts w:ascii="Times New Roman" w:eastAsia="Times New Roman" w:hAnsi="Times New Roman" w:cs="Times New Roman"/>
          <w:color w:val="000000"/>
          <w:sz w:val="24"/>
          <w:szCs w:val="24"/>
          <w:lang w:eastAsia="fr-CA"/>
        </w:rPr>
        <w:t xml:space="preserve">. Le roman comble par ailleurs les besoins de la classe de français : il respecte les gouts des adolescents de manière à les amener à aimer lire et illustre bien l’utilité de la littérature nationale pour répondre à l’acculturation. </w:t>
      </w:r>
      <w:r w:rsidR="00EA0C84">
        <w:rPr>
          <w:rFonts w:ascii="Times New Roman" w:eastAsia="Times New Roman" w:hAnsi="Times New Roman" w:cs="Times New Roman"/>
          <w:color w:val="000000"/>
          <w:sz w:val="24"/>
          <w:szCs w:val="24"/>
          <w:lang w:eastAsia="fr-CA"/>
        </w:rPr>
        <w:t xml:space="preserve">Pour tirer profit de ces points forts, nous pourrons nous inspirer de l’approche sociocritique de la littérature </w:t>
      </w:r>
      <w:r>
        <w:rPr>
          <w:rFonts w:ascii="Times New Roman" w:eastAsia="Times New Roman" w:hAnsi="Times New Roman" w:cs="Times New Roman"/>
          <w:color w:val="000000"/>
          <w:sz w:val="24"/>
          <w:szCs w:val="24"/>
          <w:lang w:eastAsia="fr-CA"/>
        </w:rPr>
        <w:t xml:space="preserve">pour amener les élèves à </w:t>
      </w:r>
      <w:r w:rsidR="004661EB">
        <w:rPr>
          <w:rFonts w:ascii="Times New Roman" w:eastAsia="Times New Roman" w:hAnsi="Times New Roman" w:cs="Times New Roman"/>
          <w:color w:val="000000"/>
          <w:sz w:val="24"/>
          <w:szCs w:val="24"/>
          <w:lang w:eastAsia="fr-CA"/>
        </w:rPr>
        <w:t>mobiliser des savoirs sociohistoriques</w:t>
      </w:r>
      <w:r>
        <w:rPr>
          <w:rFonts w:ascii="Times New Roman" w:eastAsia="Times New Roman" w:hAnsi="Times New Roman" w:cs="Times New Roman"/>
          <w:color w:val="000000"/>
          <w:sz w:val="24"/>
          <w:szCs w:val="24"/>
          <w:lang w:eastAsia="fr-CA"/>
        </w:rPr>
        <w:t xml:space="preserve">, de l’approche subjective pour amener les élèves à interpréter les passages à forte portée symbolique du roman et de l’approche culturelle pour amener les élèves à réfléchir à leur pratique de la lecture en lien avec leur rapport à la culture. Amener les élèves à surmonter le problème de lecture concernant le prénom de Niska – élément central de l’œuvre - pourrait mettre à profit ces approches et ces compétences. Cela dit, plusieurs connaissances historiques s’imposeront pour que les élèves construisent du sens à partir de </w:t>
      </w:r>
      <w:r w:rsidRPr="0075131C">
        <w:rPr>
          <w:rFonts w:ascii="Times New Roman" w:eastAsia="Times New Roman" w:hAnsi="Times New Roman" w:cs="Times New Roman"/>
          <w:i/>
          <w:iCs/>
          <w:color w:val="000000"/>
          <w:sz w:val="24"/>
          <w:szCs w:val="24"/>
          <w:lang w:eastAsia="fr-CA"/>
        </w:rPr>
        <w:t>Niska</w:t>
      </w:r>
      <w:r>
        <w:rPr>
          <w:rFonts w:ascii="Times New Roman" w:eastAsia="Times New Roman" w:hAnsi="Times New Roman" w:cs="Times New Roman"/>
          <w:color w:val="000000"/>
          <w:sz w:val="24"/>
          <w:szCs w:val="24"/>
          <w:lang w:eastAsia="fr-CA"/>
        </w:rPr>
        <w:t xml:space="preserve"> et nous devrons en tenir compte dans l’élaboration de la séquence didactique. Au terme de cette analyse,</w:t>
      </w:r>
      <w:r w:rsidR="004661EB">
        <w:rPr>
          <w:rFonts w:ascii="Times New Roman" w:eastAsia="Times New Roman" w:hAnsi="Times New Roman" w:cs="Times New Roman"/>
          <w:color w:val="000000"/>
          <w:sz w:val="24"/>
          <w:szCs w:val="24"/>
          <w:lang w:eastAsia="fr-CA"/>
        </w:rPr>
        <w:t xml:space="preserve"> nous pensons que l’objectif vers lequel devrait tendre la séquence didactique portant sur </w:t>
      </w:r>
      <w:r w:rsidR="004661EB" w:rsidRPr="004661EB">
        <w:rPr>
          <w:rFonts w:ascii="Times New Roman" w:eastAsia="Times New Roman" w:hAnsi="Times New Roman" w:cs="Times New Roman"/>
          <w:i/>
          <w:iCs/>
          <w:color w:val="000000"/>
          <w:sz w:val="24"/>
          <w:szCs w:val="24"/>
          <w:lang w:eastAsia="fr-CA"/>
        </w:rPr>
        <w:t>Niska</w:t>
      </w:r>
      <w:r w:rsidR="004661EB">
        <w:rPr>
          <w:rFonts w:ascii="Times New Roman" w:eastAsia="Times New Roman" w:hAnsi="Times New Roman" w:cs="Times New Roman"/>
          <w:color w:val="000000"/>
          <w:sz w:val="24"/>
          <w:szCs w:val="24"/>
          <w:lang w:eastAsia="fr-CA"/>
        </w:rPr>
        <w:t xml:space="preserve"> devrait être d’amener les élèves à mettre en lien le roman avec certains savoirs historiques afin de dégager des interprétations justifiables. Nous aimerions également que notre séquence permette de transmettre l’amour de la lecture aux élèves.</w:t>
      </w:r>
    </w:p>
    <w:p w14:paraId="22F2B460" w14:textId="77777777" w:rsidR="003F31AA" w:rsidRDefault="003F31AA">
      <w:pPr>
        <w:rPr>
          <w:rFonts w:ascii="Times New Roman" w:eastAsia="Times New Roman" w:hAnsi="Times New Roman" w:cs="Times New Roman"/>
          <w:color w:val="000000"/>
          <w:sz w:val="24"/>
          <w:szCs w:val="24"/>
          <w:lang w:eastAsia="fr-CA"/>
        </w:rPr>
      </w:pPr>
      <w:r>
        <w:rPr>
          <w:rFonts w:ascii="Times New Roman" w:eastAsia="Times New Roman" w:hAnsi="Times New Roman" w:cs="Times New Roman"/>
          <w:color w:val="000000"/>
          <w:sz w:val="24"/>
          <w:szCs w:val="24"/>
          <w:lang w:eastAsia="fr-CA"/>
        </w:rPr>
        <w:br w:type="page"/>
      </w:r>
    </w:p>
    <w:p w14:paraId="767492C7" w14:textId="628BA981" w:rsidR="00B5716C" w:rsidRPr="00B5716C" w:rsidRDefault="00B5716C" w:rsidP="00612525">
      <w:pPr>
        <w:shd w:val="clear" w:color="auto" w:fill="DBDBDB" w:themeFill="accent3" w:themeFillTint="66"/>
        <w:spacing w:after="0" w:line="240" w:lineRule="auto"/>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lastRenderedPageBreak/>
        <w:t>Bibliographie</w:t>
      </w:r>
    </w:p>
    <w:p w14:paraId="593B0DFA" w14:textId="77777777" w:rsidR="003F31AA" w:rsidRPr="00B5716C" w:rsidRDefault="003F31AA" w:rsidP="003F31AA">
      <w:pPr>
        <w:spacing w:before="240" w:after="0" w:line="360" w:lineRule="auto"/>
        <w:ind w:left="284" w:hanging="284"/>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 xml:space="preserve">Aguiar, W. et Halseth, R. (2015). </w:t>
      </w:r>
      <w:r w:rsidRPr="00B5716C">
        <w:rPr>
          <w:rFonts w:ascii="Times New Roman" w:eastAsia="Times New Roman" w:hAnsi="Times New Roman" w:cs="Times New Roman"/>
          <w:i/>
          <w:iCs/>
          <w:color w:val="000000"/>
          <w:sz w:val="24"/>
          <w:szCs w:val="24"/>
          <w:lang w:eastAsia="fr-CA"/>
        </w:rPr>
        <w:t>Peuples autochtones et traumatisme historique</w:t>
      </w:r>
      <w:r>
        <w:rPr>
          <w:rFonts w:ascii="Times New Roman" w:eastAsia="Times New Roman" w:hAnsi="Times New Roman" w:cs="Times New Roman"/>
          <w:i/>
          <w:iCs/>
          <w:color w:val="000000"/>
          <w:sz w:val="24"/>
          <w:szCs w:val="24"/>
          <w:lang w:eastAsia="fr-CA"/>
        </w:rPr>
        <w:t> </w:t>
      </w:r>
      <w:r w:rsidRPr="00B5716C">
        <w:rPr>
          <w:rFonts w:ascii="Times New Roman" w:eastAsia="Times New Roman" w:hAnsi="Times New Roman" w:cs="Times New Roman"/>
          <w:i/>
          <w:iCs/>
          <w:color w:val="000000"/>
          <w:sz w:val="24"/>
          <w:szCs w:val="24"/>
          <w:lang w:eastAsia="fr-CA"/>
        </w:rPr>
        <w:t>: le processus de transmission intergénérationnel</w:t>
      </w:r>
      <w:r w:rsidRPr="00B5716C">
        <w:rPr>
          <w:rFonts w:ascii="Times New Roman" w:eastAsia="Times New Roman" w:hAnsi="Times New Roman" w:cs="Times New Roman"/>
          <w:color w:val="000000"/>
          <w:sz w:val="24"/>
          <w:szCs w:val="24"/>
          <w:lang w:eastAsia="fr-CA"/>
        </w:rPr>
        <w:t>. Prince George</w:t>
      </w:r>
      <w:r>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Centre de collaboration nationale de la santé autochtone.</w:t>
      </w:r>
    </w:p>
    <w:p w14:paraId="3121EF74" w14:textId="057571DC" w:rsidR="003F31AA" w:rsidRDefault="003F31AA" w:rsidP="003F31AA">
      <w:pPr>
        <w:spacing w:after="0" w:line="360" w:lineRule="auto"/>
        <w:ind w:left="284" w:hanging="284"/>
        <w:jc w:val="both"/>
        <w:rPr>
          <w:rFonts w:ascii="Times New Roman" w:eastAsia="Times New Roman" w:hAnsi="Times New Roman" w:cs="Times New Roman"/>
          <w:i/>
          <w:iCs/>
          <w:color w:val="000000"/>
          <w:sz w:val="24"/>
          <w:szCs w:val="24"/>
          <w:lang w:eastAsia="fr-CA"/>
        </w:rPr>
      </w:pPr>
      <w:r w:rsidRPr="00B5716C">
        <w:rPr>
          <w:rFonts w:ascii="Times New Roman" w:eastAsia="Times New Roman" w:hAnsi="Times New Roman" w:cs="Times New Roman"/>
          <w:color w:val="000000"/>
          <w:sz w:val="24"/>
          <w:szCs w:val="24"/>
          <w:lang w:eastAsia="fr-CA"/>
        </w:rPr>
        <w:t>APN. (2004).</w:t>
      </w:r>
      <w:r w:rsidRPr="00B5716C">
        <w:rPr>
          <w:rFonts w:ascii="Times New Roman" w:eastAsia="Times New Roman" w:hAnsi="Times New Roman" w:cs="Times New Roman"/>
          <w:i/>
          <w:iCs/>
          <w:color w:val="000000"/>
          <w:sz w:val="24"/>
          <w:szCs w:val="24"/>
          <w:lang w:eastAsia="fr-CA"/>
        </w:rPr>
        <w:t xml:space="preserve"> Rapport sur le plan de règlement des conflits du gouvernement du Canada qui vise à indemniser les victimes de sévices infligés dans les pensionnats indiens. </w:t>
      </w:r>
      <w:hyperlink r:id="rId7" w:history="1">
        <w:r w:rsidRPr="00B5716C">
          <w:rPr>
            <w:rFonts w:ascii="Times New Roman" w:eastAsia="Times New Roman" w:hAnsi="Times New Roman" w:cs="Times New Roman"/>
            <w:i/>
            <w:iCs/>
            <w:color w:val="1155CC"/>
            <w:sz w:val="24"/>
            <w:szCs w:val="24"/>
            <w:u w:val="single"/>
            <w:lang w:eastAsia="fr-CA"/>
          </w:rPr>
          <w:t>https://www.deslibris.ca/IDFR/206975</w:t>
        </w:r>
      </w:hyperlink>
      <w:r w:rsidRPr="00B5716C">
        <w:rPr>
          <w:rFonts w:ascii="Times New Roman" w:eastAsia="Times New Roman" w:hAnsi="Times New Roman" w:cs="Times New Roman"/>
          <w:i/>
          <w:iCs/>
          <w:color w:val="000000"/>
          <w:sz w:val="24"/>
          <w:szCs w:val="24"/>
          <w:lang w:eastAsia="fr-CA"/>
        </w:rPr>
        <w:t> </w:t>
      </w:r>
    </w:p>
    <w:p w14:paraId="059DC9C9" w14:textId="31B79998" w:rsidR="003F31AA" w:rsidRPr="00B5716C" w:rsidRDefault="003F31AA" w:rsidP="003F31AA">
      <w:pPr>
        <w:spacing w:after="0" w:line="360" w:lineRule="auto"/>
        <w:ind w:left="284" w:hanging="284"/>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Doerr, A.D. (2015).</w:t>
      </w:r>
      <w:r>
        <w:rPr>
          <w:rFonts w:ascii="Times New Roman" w:eastAsia="Times New Roman" w:hAnsi="Times New Roman" w:cs="Times New Roman"/>
          <w:color w:val="000000"/>
          <w:sz w:val="24"/>
          <w:szCs w:val="24"/>
          <w:lang w:eastAsia="fr-CA"/>
        </w:rPr>
        <w:t xml:space="preserve"> Commission royale sur les peuples autochtones. </w:t>
      </w:r>
      <w:r w:rsidRPr="00B5716C">
        <w:rPr>
          <w:rFonts w:ascii="Times New Roman" w:eastAsia="Times New Roman" w:hAnsi="Times New Roman" w:cs="Times New Roman"/>
          <w:color w:val="000000"/>
          <w:sz w:val="24"/>
          <w:szCs w:val="24"/>
          <w:lang w:eastAsia="fr-CA"/>
        </w:rPr>
        <w:t>Dans l’</w:t>
      </w:r>
      <w:r w:rsidRPr="00B5716C">
        <w:rPr>
          <w:rFonts w:ascii="Times New Roman" w:eastAsia="Times New Roman" w:hAnsi="Times New Roman" w:cs="Times New Roman"/>
          <w:i/>
          <w:iCs/>
          <w:color w:val="000000"/>
          <w:sz w:val="24"/>
          <w:szCs w:val="24"/>
          <w:lang w:eastAsia="fr-CA"/>
        </w:rPr>
        <w:t>Encyclopédie Canadienne</w:t>
      </w:r>
      <w:r w:rsidRPr="00B5716C">
        <w:rPr>
          <w:rFonts w:ascii="Times New Roman" w:eastAsia="Times New Roman" w:hAnsi="Times New Roman" w:cs="Times New Roman"/>
          <w:color w:val="000000"/>
          <w:sz w:val="24"/>
          <w:szCs w:val="24"/>
          <w:lang w:eastAsia="fr-CA"/>
        </w:rPr>
        <w:t>.</w:t>
      </w:r>
      <w:r>
        <w:rPr>
          <w:rFonts w:ascii="Times New Roman" w:eastAsia="Times New Roman" w:hAnsi="Times New Roman" w:cs="Times New Roman"/>
          <w:color w:val="000000"/>
          <w:sz w:val="24"/>
          <w:szCs w:val="24"/>
          <w:lang w:eastAsia="fr-CA"/>
        </w:rPr>
        <w:t xml:space="preserve"> </w:t>
      </w:r>
      <w:hyperlink r:id="rId8" w:history="1">
        <w:r w:rsidRPr="00E23947">
          <w:rPr>
            <w:rStyle w:val="Hyperlink"/>
            <w:rFonts w:ascii="Times New Roman" w:eastAsia="Times New Roman" w:hAnsi="Times New Roman" w:cs="Times New Roman"/>
            <w:sz w:val="24"/>
            <w:szCs w:val="24"/>
            <w:lang w:eastAsia="fr-CA"/>
          </w:rPr>
          <w:t>https://www.thecanadianencyclopedia.ca/fr/article/royal-commission-on-aboriginal-peoples</w:t>
        </w:r>
      </w:hyperlink>
      <w:r>
        <w:rPr>
          <w:rFonts w:ascii="Times New Roman" w:eastAsia="Times New Roman" w:hAnsi="Times New Roman" w:cs="Times New Roman"/>
          <w:color w:val="000000"/>
          <w:sz w:val="24"/>
          <w:szCs w:val="24"/>
          <w:lang w:eastAsia="fr-CA"/>
        </w:rPr>
        <w:t xml:space="preserve"> </w:t>
      </w:r>
    </w:p>
    <w:p w14:paraId="746AE8A5" w14:textId="77777777" w:rsidR="003F31AA" w:rsidRPr="009777C1" w:rsidRDefault="003F31AA" w:rsidP="003F31AA">
      <w:pPr>
        <w:shd w:val="clear" w:color="auto" w:fill="FFFFFF"/>
        <w:spacing w:after="0" w:line="360" w:lineRule="auto"/>
        <w:ind w:left="284" w:hanging="284"/>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Falardeau, É. et Sauvaire, M. (2015). Les composantes de la compétence en lecture littéraire.</w:t>
      </w:r>
      <w:r w:rsidRPr="00B5716C">
        <w:rPr>
          <w:rFonts w:ascii="Times New Roman" w:eastAsia="Times New Roman" w:hAnsi="Times New Roman" w:cs="Times New Roman"/>
          <w:i/>
          <w:iCs/>
          <w:color w:val="000000"/>
          <w:sz w:val="24"/>
          <w:szCs w:val="24"/>
          <w:lang w:eastAsia="fr-CA"/>
        </w:rPr>
        <w:t xml:space="preserve"> Le français aujourd’hui, 191</w:t>
      </w:r>
      <w:r w:rsidRPr="00B5716C">
        <w:rPr>
          <w:rFonts w:ascii="Times New Roman" w:eastAsia="Times New Roman" w:hAnsi="Times New Roman" w:cs="Times New Roman"/>
          <w:color w:val="000000"/>
          <w:sz w:val="24"/>
          <w:szCs w:val="24"/>
          <w:lang w:eastAsia="fr-CA"/>
        </w:rPr>
        <w:t>(4), 71-84.</w:t>
      </w:r>
    </w:p>
    <w:p w14:paraId="2C5C5B66" w14:textId="77777777" w:rsidR="003F31AA" w:rsidRPr="00612525" w:rsidRDefault="003F31AA" w:rsidP="003F31AA">
      <w:pPr>
        <w:spacing w:after="0" w:line="360" w:lineRule="auto"/>
        <w:ind w:left="284" w:hanging="284"/>
        <w:rPr>
          <w:rFonts w:ascii="Times New Roman" w:hAnsi="Times New Roman" w:cs="Times New Roman"/>
          <w:i/>
          <w:iCs/>
          <w:sz w:val="24"/>
          <w:szCs w:val="24"/>
        </w:rPr>
      </w:pPr>
      <w:r>
        <w:rPr>
          <w:rFonts w:ascii="Times New Roman" w:eastAsia="Times New Roman" w:hAnsi="Times New Roman" w:cs="Times New Roman"/>
          <w:color w:val="000000"/>
          <w:sz w:val="24"/>
          <w:szCs w:val="24"/>
          <w:lang w:eastAsia="fr-CA"/>
        </w:rPr>
        <w:t>Gouvernement du Québec</w:t>
      </w:r>
      <w:r w:rsidRPr="00B5716C">
        <w:rPr>
          <w:rFonts w:ascii="Times New Roman" w:eastAsia="Times New Roman" w:hAnsi="Times New Roman" w:cs="Times New Roman"/>
          <w:color w:val="000000"/>
          <w:sz w:val="24"/>
          <w:szCs w:val="24"/>
          <w:lang w:eastAsia="fr-CA"/>
        </w:rPr>
        <w:t xml:space="preserve">. (2019). </w:t>
      </w:r>
      <w:r w:rsidRPr="00B5716C">
        <w:rPr>
          <w:rFonts w:ascii="Times New Roman" w:hAnsi="Times New Roman" w:cs="Times New Roman"/>
          <w:i/>
          <w:iCs/>
          <w:sz w:val="24"/>
          <w:szCs w:val="24"/>
          <w:lang w:eastAsia="fr-CA"/>
        </w:rPr>
        <w:t>Commission d</w:t>
      </w:r>
      <w:r>
        <w:rPr>
          <w:rFonts w:ascii="Times New Roman" w:hAnsi="Times New Roman" w:cs="Times New Roman"/>
          <w:i/>
          <w:iCs/>
          <w:sz w:val="24"/>
          <w:szCs w:val="24"/>
          <w:lang w:eastAsia="fr-CA"/>
        </w:rPr>
        <w:t>’</w:t>
      </w:r>
      <w:r w:rsidRPr="00B5716C">
        <w:rPr>
          <w:rFonts w:ascii="Times New Roman" w:hAnsi="Times New Roman" w:cs="Times New Roman"/>
          <w:i/>
          <w:iCs/>
          <w:sz w:val="24"/>
          <w:szCs w:val="24"/>
          <w:lang w:eastAsia="fr-CA"/>
        </w:rPr>
        <w:t>enquête sur les relations entre les autochtones et certains services publics</w:t>
      </w:r>
      <w:r>
        <w:rPr>
          <w:rFonts w:ascii="Times New Roman" w:hAnsi="Times New Roman" w:cs="Times New Roman"/>
          <w:i/>
          <w:iCs/>
          <w:sz w:val="24"/>
          <w:szCs w:val="24"/>
          <w:lang w:eastAsia="fr-CA"/>
        </w:rPr>
        <w:t> </w:t>
      </w:r>
      <w:r w:rsidRPr="00B5716C">
        <w:rPr>
          <w:rFonts w:ascii="Times New Roman" w:hAnsi="Times New Roman" w:cs="Times New Roman"/>
          <w:i/>
          <w:iCs/>
          <w:sz w:val="24"/>
          <w:szCs w:val="24"/>
          <w:lang w:eastAsia="fr-CA"/>
        </w:rPr>
        <w:t>: écoute, réconciliation et progrès</w:t>
      </w:r>
      <w:r>
        <w:rPr>
          <w:rFonts w:ascii="Times New Roman" w:hAnsi="Times New Roman" w:cs="Times New Roman"/>
          <w:i/>
          <w:iCs/>
          <w:sz w:val="24"/>
          <w:szCs w:val="24"/>
          <w:lang w:eastAsia="fr-CA"/>
        </w:rPr>
        <w:t> </w:t>
      </w:r>
      <w:r w:rsidRPr="00B5716C">
        <w:rPr>
          <w:rFonts w:ascii="Times New Roman" w:hAnsi="Times New Roman" w:cs="Times New Roman"/>
          <w:i/>
          <w:iCs/>
          <w:sz w:val="24"/>
          <w:szCs w:val="24"/>
          <w:lang w:eastAsia="fr-CA"/>
        </w:rPr>
        <w:t xml:space="preserve">: rapport final. </w:t>
      </w:r>
      <w:hyperlink r:id="rId9" w:history="1">
        <w:r w:rsidRPr="00E23947">
          <w:rPr>
            <w:rStyle w:val="Hyperlink"/>
            <w:rFonts w:ascii="Times New Roman" w:hAnsi="Times New Roman" w:cs="Times New Roman"/>
            <w:sz w:val="24"/>
            <w:szCs w:val="24"/>
            <w:lang w:eastAsia="fr-CA"/>
          </w:rPr>
          <w:t>http://www.cerp.gouv.qc.ca/</w:t>
        </w:r>
      </w:hyperlink>
      <w:r>
        <w:rPr>
          <w:rFonts w:ascii="Times New Roman" w:hAnsi="Times New Roman" w:cs="Times New Roman"/>
          <w:sz w:val="24"/>
          <w:szCs w:val="24"/>
          <w:lang w:eastAsia="fr-CA"/>
        </w:rPr>
        <w:t xml:space="preserve"> </w:t>
      </w:r>
      <w:r w:rsidRPr="00612525">
        <w:rPr>
          <w:rFonts w:ascii="Times New Roman" w:hAnsi="Times New Roman" w:cs="Times New Roman"/>
          <w:sz w:val="24"/>
          <w:szCs w:val="24"/>
          <w:lang w:eastAsia="fr-CA"/>
        </w:rPr>
        <w:t xml:space="preserve"> </w:t>
      </w:r>
    </w:p>
    <w:p w14:paraId="6790D1FD" w14:textId="77777777" w:rsidR="003F31AA" w:rsidRPr="009777C1" w:rsidRDefault="003F31AA" w:rsidP="003F31AA">
      <w:pPr>
        <w:shd w:val="clear" w:color="auto" w:fill="FFFFFF"/>
        <w:spacing w:after="0" w:line="360" w:lineRule="auto"/>
        <w:ind w:left="284" w:hanging="284"/>
        <w:jc w:val="both"/>
        <w:rPr>
          <w:rFonts w:ascii="Times New Roman" w:eastAsia="Times New Roman" w:hAnsi="Times New Roman" w:cs="Times New Roman"/>
          <w:sz w:val="24"/>
          <w:szCs w:val="24"/>
          <w:lang w:eastAsia="fr-CA"/>
        </w:rPr>
      </w:pPr>
      <w:r w:rsidRPr="009777C1">
        <w:rPr>
          <w:rStyle w:val="familyname"/>
          <w:rFonts w:ascii="Times New Roman" w:hAnsi="Times New Roman" w:cs="Times New Roman"/>
          <w:color w:val="000000"/>
          <w:sz w:val="24"/>
          <w:szCs w:val="24"/>
          <w:shd w:val="clear" w:color="auto" w:fill="FFFFFF"/>
        </w:rPr>
        <w:t>Larrivé</w:t>
      </w:r>
      <w:r>
        <w:rPr>
          <w:rStyle w:val="familyname"/>
          <w:rFonts w:ascii="Times New Roman" w:hAnsi="Times New Roman" w:cs="Times New Roman"/>
          <w:color w:val="000000"/>
          <w:sz w:val="24"/>
          <w:szCs w:val="24"/>
          <w:shd w:val="clear" w:color="auto" w:fill="FFFFFF"/>
        </w:rPr>
        <w:t xml:space="preserve">, V. (2015). </w:t>
      </w:r>
      <w:r w:rsidRPr="009777C1">
        <w:rPr>
          <w:rStyle w:val="Emphasis"/>
          <w:rFonts w:ascii="Times New Roman" w:hAnsi="Times New Roman" w:cs="Times New Roman"/>
          <w:color w:val="000000"/>
          <w:sz w:val="24"/>
          <w:szCs w:val="24"/>
          <w:shd w:val="clear" w:color="auto" w:fill="FFFFFF"/>
        </w:rPr>
        <w:t>Empathie fictionnelle</w:t>
      </w:r>
      <w:r w:rsidRPr="009777C1">
        <w:rPr>
          <w:rFonts w:ascii="Times New Roman" w:hAnsi="Times New Roman" w:cs="Times New Roman"/>
          <w:i/>
          <w:iCs/>
          <w:color w:val="000000"/>
          <w:sz w:val="24"/>
          <w:szCs w:val="24"/>
          <w:shd w:val="clear" w:color="auto" w:fill="FFFFFF"/>
        </w:rPr>
        <w:t> et écriture en « je » fictif</w:t>
      </w:r>
      <w:r w:rsidRPr="009777C1">
        <w:rPr>
          <w:rFonts w:ascii="Times New Roman" w:hAnsi="Times New Roman" w:cs="Times New Roman"/>
          <w:color w:val="000000"/>
          <w:sz w:val="24"/>
          <w:szCs w:val="24"/>
          <w:shd w:val="clear" w:color="auto" w:fill="FFFFFF"/>
        </w:rPr>
        <w:t>, </w:t>
      </w:r>
      <w:r w:rsidRPr="009777C1">
        <w:rPr>
          <w:rStyle w:val="Emphasis"/>
          <w:rFonts w:ascii="Times New Roman" w:hAnsi="Times New Roman" w:cs="Times New Roman"/>
          <w:color w:val="000000"/>
          <w:sz w:val="24"/>
          <w:szCs w:val="24"/>
          <w:shd w:val="clear" w:color="auto" w:fill="FFFFFF"/>
        </w:rPr>
        <w:t>Repères</w:t>
      </w:r>
      <w:r w:rsidRPr="009777C1">
        <w:rPr>
          <w:rFonts w:ascii="Times New Roman" w:hAnsi="Times New Roman" w:cs="Times New Roman"/>
          <w:color w:val="000000"/>
          <w:sz w:val="24"/>
          <w:szCs w:val="24"/>
          <w:shd w:val="clear" w:color="auto" w:fill="FFFFFF"/>
        </w:rPr>
        <w:t xml:space="preserve">, </w:t>
      </w:r>
      <w:r w:rsidRPr="009777C1">
        <w:rPr>
          <w:rFonts w:ascii="Times New Roman" w:hAnsi="Times New Roman" w:cs="Times New Roman"/>
          <w:i/>
          <w:iCs/>
          <w:color w:val="000000"/>
          <w:sz w:val="24"/>
          <w:szCs w:val="24"/>
          <w:shd w:val="clear" w:color="auto" w:fill="FFFFFF"/>
        </w:rPr>
        <w:t>51</w:t>
      </w:r>
      <w:r>
        <w:rPr>
          <w:rFonts w:ascii="Times New Roman" w:hAnsi="Times New Roman" w:cs="Times New Roman"/>
          <w:color w:val="000000"/>
          <w:sz w:val="24"/>
          <w:szCs w:val="24"/>
          <w:shd w:val="clear" w:color="auto" w:fill="FFFFFF"/>
        </w:rPr>
        <w:t>,</w:t>
      </w:r>
      <w:r w:rsidRPr="009777C1">
        <w:rPr>
          <w:rFonts w:ascii="Times New Roman" w:hAnsi="Times New Roman" w:cs="Times New Roman"/>
          <w:color w:val="000000"/>
          <w:sz w:val="24"/>
          <w:szCs w:val="24"/>
          <w:shd w:val="clear" w:color="auto" w:fill="FFFFFF"/>
        </w:rPr>
        <w:t>157-176</w:t>
      </w:r>
    </w:p>
    <w:p w14:paraId="1A584350" w14:textId="77777777" w:rsidR="003F31AA" w:rsidRPr="00B5716C" w:rsidRDefault="003F31AA" w:rsidP="003F31AA">
      <w:pPr>
        <w:spacing w:after="0" w:line="360" w:lineRule="auto"/>
        <w:ind w:left="284" w:hanging="284"/>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Miller, Marshall et Gallant. (2020).</w:t>
      </w:r>
      <w:r>
        <w:rPr>
          <w:rFonts w:ascii="Times New Roman" w:eastAsia="Times New Roman" w:hAnsi="Times New Roman" w:cs="Times New Roman"/>
          <w:color w:val="000000"/>
          <w:sz w:val="24"/>
          <w:szCs w:val="24"/>
          <w:lang w:eastAsia="fr-CA"/>
        </w:rPr>
        <w:t xml:space="preserve"> Pensionnats indiens au Canada. </w:t>
      </w:r>
      <w:r w:rsidRPr="00B5716C">
        <w:rPr>
          <w:rFonts w:ascii="Times New Roman" w:eastAsia="Times New Roman" w:hAnsi="Times New Roman" w:cs="Times New Roman"/>
          <w:color w:val="000000"/>
          <w:sz w:val="24"/>
          <w:szCs w:val="24"/>
          <w:lang w:eastAsia="fr-CA"/>
        </w:rPr>
        <w:t>Dans l’</w:t>
      </w:r>
      <w:r w:rsidRPr="00B5716C">
        <w:rPr>
          <w:rFonts w:ascii="Times New Roman" w:eastAsia="Times New Roman" w:hAnsi="Times New Roman" w:cs="Times New Roman"/>
          <w:i/>
          <w:iCs/>
          <w:color w:val="000000"/>
          <w:sz w:val="24"/>
          <w:szCs w:val="24"/>
          <w:lang w:eastAsia="fr-CA"/>
        </w:rPr>
        <w:t>Encyclopédie Canadienne</w:t>
      </w:r>
      <w:r w:rsidRPr="00B5716C">
        <w:rPr>
          <w:rFonts w:ascii="Times New Roman" w:eastAsia="Times New Roman" w:hAnsi="Times New Roman" w:cs="Times New Roman"/>
          <w:color w:val="000000"/>
          <w:sz w:val="24"/>
          <w:szCs w:val="24"/>
          <w:lang w:eastAsia="fr-CA"/>
        </w:rPr>
        <w:t>.</w:t>
      </w:r>
      <w:r>
        <w:rPr>
          <w:rFonts w:ascii="Times New Roman" w:eastAsia="Times New Roman" w:hAnsi="Times New Roman" w:cs="Times New Roman"/>
          <w:color w:val="000000"/>
          <w:sz w:val="24"/>
          <w:szCs w:val="24"/>
          <w:lang w:eastAsia="fr-CA"/>
        </w:rPr>
        <w:t xml:space="preserve"> </w:t>
      </w:r>
      <w:hyperlink r:id="rId10" w:history="1">
        <w:r w:rsidRPr="00E23947">
          <w:rPr>
            <w:rStyle w:val="Hyperlink"/>
            <w:rFonts w:ascii="Times New Roman" w:eastAsia="Times New Roman" w:hAnsi="Times New Roman" w:cs="Times New Roman"/>
            <w:sz w:val="24"/>
            <w:szCs w:val="24"/>
            <w:lang w:eastAsia="fr-CA"/>
          </w:rPr>
          <w:t>https://www.thecanadianencyclopedia.ca/fr/article/pensionnats</w:t>
        </w:r>
      </w:hyperlink>
      <w:r>
        <w:rPr>
          <w:rFonts w:ascii="Times New Roman" w:eastAsia="Times New Roman" w:hAnsi="Times New Roman" w:cs="Times New Roman"/>
          <w:color w:val="000000"/>
          <w:sz w:val="24"/>
          <w:szCs w:val="24"/>
          <w:lang w:eastAsia="fr-CA"/>
        </w:rPr>
        <w:t xml:space="preserve"> </w:t>
      </w:r>
    </w:p>
    <w:p w14:paraId="68639E5E" w14:textId="77777777" w:rsidR="003F31AA" w:rsidRDefault="003F31AA" w:rsidP="003F31AA">
      <w:pPr>
        <w:shd w:val="clear" w:color="auto" w:fill="FFFFFF"/>
        <w:spacing w:after="0" w:line="360" w:lineRule="auto"/>
        <w:ind w:left="284" w:hanging="284"/>
        <w:jc w:val="both"/>
        <w:rPr>
          <w:rFonts w:ascii="Times New Roman" w:eastAsia="Times New Roman" w:hAnsi="Times New Roman" w:cs="Times New Roman"/>
          <w:color w:val="000000"/>
          <w:sz w:val="24"/>
          <w:szCs w:val="24"/>
          <w:lang w:eastAsia="fr-CA"/>
        </w:rPr>
      </w:pPr>
      <w:r w:rsidRPr="00B5716C">
        <w:rPr>
          <w:rFonts w:ascii="Times New Roman" w:eastAsia="Times New Roman" w:hAnsi="Times New Roman" w:cs="Times New Roman"/>
          <w:color w:val="000000"/>
          <w:sz w:val="24"/>
          <w:szCs w:val="24"/>
          <w:lang w:eastAsia="fr-CA"/>
        </w:rPr>
        <w:t>Poirier, É. (2016).</w:t>
      </w:r>
      <w:r w:rsidRPr="00B5716C">
        <w:rPr>
          <w:rFonts w:ascii="Times New Roman" w:eastAsia="Times New Roman" w:hAnsi="Times New Roman" w:cs="Times New Roman"/>
          <w:i/>
          <w:iCs/>
          <w:color w:val="000000"/>
          <w:sz w:val="24"/>
          <w:szCs w:val="24"/>
          <w:lang w:eastAsia="fr-CA"/>
        </w:rPr>
        <w:t xml:space="preserve"> Niska.</w:t>
      </w:r>
      <w:r w:rsidRPr="00B5716C">
        <w:rPr>
          <w:rFonts w:ascii="Times New Roman" w:eastAsia="Times New Roman" w:hAnsi="Times New Roman" w:cs="Times New Roman"/>
          <w:color w:val="000000"/>
          <w:sz w:val="24"/>
          <w:szCs w:val="24"/>
          <w:lang w:eastAsia="fr-CA"/>
        </w:rPr>
        <w:t xml:space="preserve"> Québec</w:t>
      </w:r>
      <w:r>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soleil de minuit.</w:t>
      </w:r>
    </w:p>
    <w:p w14:paraId="53E0093F" w14:textId="77777777" w:rsidR="00B5716C" w:rsidRPr="00B5716C" w:rsidRDefault="00B5716C" w:rsidP="00F903F4">
      <w:pPr>
        <w:shd w:val="clear" w:color="auto" w:fill="FFFFFF"/>
        <w:spacing w:after="0" w:line="360" w:lineRule="auto"/>
        <w:ind w:left="284" w:hanging="284"/>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Simard, C. (1996). Le choix des textes littéraires, une question idéologique</w:t>
      </w:r>
      <w:r w:rsidRPr="00B5716C">
        <w:rPr>
          <w:rFonts w:ascii="Times New Roman" w:eastAsia="Times New Roman" w:hAnsi="Times New Roman" w:cs="Times New Roman"/>
          <w:i/>
          <w:iCs/>
          <w:color w:val="000000"/>
          <w:sz w:val="24"/>
          <w:szCs w:val="24"/>
          <w:lang w:eastAsia="fr-CA"/>
        </w:rPr>
        <w:t xml:space="preserve">. Québec français, 100, </w:t>
      </w:r>
      <w:r w:rsidRPr="00B5716C">
        <w:rPr>
          <w:rFonts w:ascii="Times New Roman" w:eastAsia="Times New Roman" w:hAnsi="Times New Roman" w:cs="Times New Roman"/>
          <w:color w:val="000000"/>
          <w:sz w:val="24"/>
          <w:szCs w:val="24"/>
          <w:lang w:eastAsia="fr-CA"/>
        </w:rPr>
        <w:t>44-47.</w:t>
      </w:r>
    </w:p>
    <w:p w14:paraId="2D8D56E9" w14:textId="3216FE9F" w:rsidR="00B5716C" w:rsidRPr="00B5716C" w:rsidRDefault="00B5716C" w:rsidP="00F903F4">
      <w:pPr>
        <w:shd w:val="clear" w:color="auto" w:fill="FFFFFF"/>
        <w:spacing w:after="0" w:line="360" w:lineRule="auto"/>
        <w:ind w:left="284" w:hanging="284"/>
        <w:jc w:val="both"/>
        <w:rPr>
          <w:rFonts w:ascii="Times New Roman" w:eastAsia="Times New Roman" w:hAnsi="Times New Roman" w:cs="Times New Roman"/>
          <w:sz w:val="24"/>
          <w:szCs w:val="24"/>
          <w:lang w:eastAsia="fr-CA"/>
        </w:rPr>
      </w:pPr>
      <w:r w:rsidRPr="00B5716C">
        <w:rPr>
          <w:rFonts w:ascii="Times New Roman" w:eastAsia="Times New Roman" w:hAnsi="Times New Roman" w:cs="Times New Roman"/>
          <w:color w:val="000000"/>
          <w:sz w:val="24"/>
          <w:szCs w:val="24"/>
          <w:lang w:eastAsia="fr-CA"/>
        </w:rPr>
        <w:t xml:space="preserve">Simard, C., Dufays, J-L., Dolz, J. et Garcia-Debanc, C. (2010). </w:t>
      </w:r>
      <w:r w:rsidRPr="00B5716C">
        <w:rPr>
          <w:rFonts w:ascii="Times New Roman" w:eastAsia="Times New Roman" w:hAnsi="Times New Roman" w:cs="Times New Roman"/>
          <w:i/>
          <w:iCs/>
          <w:color w:val="000000"/>
          <w:sz w:val="24"/>
          <w:szCs w:val="24"/>
          <w:lang w:eastAsia="fr-CA"/>
        </w:rPr>
        <w:t>Didactique du français langue première</w:t>
      </w:r>
      <w:r w:rsidR="004661EB">
        <w:rPr>
          <w:rFonts w:ascii="Times New Roman" w:eastAsia="Times New Roman" w:hAnsi="Times New Roman" w:cs="Times New Roman"/>
          <w:i/>
          <w:iCs/>
          <w:color w:val="000000"/>
          <w:sz w:val="24"/>
          <w:szCs w:val="24"/>
          <w:lang w:eastAsia="fr-CA"/>
        </w:rPr>
        <w:t> </w:t>
      </w:r>
      <w:r w:rsidRPr="00B5716C">
        <w:rPr>
          <w:rFonts w:ascii="Times New Roman" w:eastAsia="Times New Roman" w:hAnsi="Times New Roman" w:cs="Times New Roman"/>
          <w:i/>
          <w:iCs/>
          <w:color w:val="000000"/>
          <w:sz w:val="24"/>
          <w:szCs w:val="24"/>
          <w:lang w:eastAsia="fr-CA"/>
        </w:rPr>
        <w:t>: Pratiques pédagogiques.</w:t>
      </w:r>
      <w:r w:rsidRPr="00B5716C">
        <w:rPr>
          <w:rFonts w:ascii="Times New Roman" w:eastAsia="Times New Roman" w:hAnsi="Times New Roman" w:cs="Times New Roman"/>
          <w:color w:val="000000"/>
          <w:sz w:val="24"/>
          <w:szCs w:val="24"/>
          <w:lang w:eastAsia="fr-CA"/>
        </w:rPr>
        <w:t xml:space="preserve"> Paris</w:t>
      </w:r>
      <w:r w:rsidR="004661EB">
        <w:rPr>
          <w:rFonts w:ascii="Times New Roman" w:eastAsia="Times New Roman" w:hAnsi="Times New Roman" w:cs="Times New Roman"/>
          <w:color w:val="000000"/>
          <w:sz w:val="24"/>
          <w:szCs w:val="24"/>
          <w:lang w:eastAsia="fr-CA"/>
        </w:rPr>
        <w:t> </w:t>
      </w:r>
      <w:r w:rsidRPr="00B5716C">
        <w:rPr>
          <w:rFonts w:ascii="Times New Roman" w:eastAsia="Times New Roman" w:hAnsi="Times New Roman" w:cs="Times New Roman"/>
          <w:color w:val="000000"/>
          <w:sz w:val="24"/>
          <w:szCs w:val="24"/>
          <w:lang w:eastAsia="fr-CA"/>
        </w:rPr>
        <w:t>: De Boeck.</w:t>
      </w:r>
    </w:p>
    <w:p w14:paraId="6CB2E508" w14:textId="77777777" w:rsidR="003F31AA" w:rsidRDefault="003F31AA" w:rsidP="003F31AA">
      <w:pPr>
        <w:shd w:val="clear" w:color="auto" w:fill="FFFFFF"/>
        <w:spacing w:after="0" w:line="360" w:lineRule="auto"/>
        <w:ind w:left="284" w:hanging="284"/>
        <w:jc w:val="both"/>
        <w:rPr>
          <w:rFonts w:ascii="Times New Roman" w:eastAsia="Times New Roman" w:hAnsi="Times New Roman" w:cs="Times New Roman"/>
          <w:color w:val="000000"/>
          <w:sz w:val="24"/>
          <w:szCs w:val="24"/>
          <w:lang w:eastAsia="fr-CA"/>
        </w:rPr>
      </w:pPr>
      <w:r w:rsidRPr="00B5716C">
        <w:rPr>
          <w:rFonts w:ascii="Times New Roman" w:eastAsia="Times New Roman" w:hAnsi="Times New Roman" w:cs="Times New Roman"/>
          <w:color w:val="000000"/>
          <w:sz w:val="24"/>
          <w:szCs w:val="24"/>
          <w:lang w:eastAsia="fr-CA"/>
        </w:rPr>
        <w:t xml:space="preserve">Tauveron, Catherine. (1999). Comprendre et interpréter le littéraire à l’école. </w:t>
      </w:r>
      <w:r w:rsidRPr="00B5716C">
        <w:rPr>
          <w:rFonts w:ascii="Times New Roman" w:eastAsia="Times New Roman" w:hAnsi="Times New Roman" w:cs="Times New Roman"/>
          <w:i/>
          <w:iCs/>
          <w:color w:val="000000"/>
          <w:sz w:val="24"/>
          <w:szCs w:val="24"/>
          <w:lang w:eastAsia="fr-CA"/>
        </w:rPr>
        <w:t>Repères, 19</w:t>
      </w:r>
      <w:r w:rsidRPr="00B5716C">
        <w:rPr>
          <w:rFonts w:ascii="Times New Roman" w:eastAsia="Times New Roman" w:hAnsi="Times New Roman" w:cs="Times New Roman"/>
          <w:color w:val="000000"/>
          <w:sz w:val="24"/>
          <w:szCs w:val="24"/>
          <w:lang w:eastAsia="fr-CA"/>
        </w:rPr>
        <w:t>, 9-38.</w:t>
      </w:r>
      <w:r w:rsidRPr="009777C1">
        <w:rPr>
          <w:rFonts w:ascii="Times New Roman" w:eastAsia="Times New Roman" w:hAnsi="Times New Roman" w:cs="Times New Roman"/>
          <w:color w:val="000000"/>
          <w:sz w:val="24"/>
          <w:szCs w:val="24"/>
          <w:lang w:eastAsia="fr-CA"/>
        </w:rPr>
        <w:t xml:space="preserve"> </w:t>
      </w:r>
    </w:p>
    <w:p w14:paraId="4413726F" w14:textId="77777777" w:rsidR="003F31AA" w:rsidRDefault="003F31AA" w:rsidP="003F31AA">
      <w:pPr>
        <w:spacing w:after="0" w:line="360" w:lineRule="auto"/>
        <w:rPr>
          <w:rFonts w:ascii="Times New Roman" w:eastAsia="Times New Roman" w:hAnsi="Times New Roman" w:cs="Times New Roman"/>
          <w:color w:val="000000"/>
          <w:sz w:val="24"/>
          <w:szCs w:val="24"/>
          <w:lang w:eastAsia="fr-CA"/>
        </w:rPr>
      </w:pPr>
    </w:p>
    <w:p w14:paraId="7A1D5B3B" w14:textId="77777777" w:rsidR="0070260B" w:rsidRDefault="0070260B" w:rsidP="0070260B"/>
    <w:p w14:paraId="1C00705E" w14:textId="77777777" w:rsidR="0070260B" w:rsidRPr="00B5716C" w:rsidRDefault="0070260B" w:rsidP="00F903F4">
      <w:pPr>
        <w:spacing w:after="0" w:line="360" w:lineRule="auto"/>
        <w:ind w:left="284" w:hanging="284"/>
        <w:rPr>
          <w:rFonts w:ascii="Times New Roman" w:eastAsia="Times New Roman" w:hAnsi="Times New Roman" w:cs="Times New Roman"/>
          <w:sz w:val="24"/>
          <w:szCs w:val="24"/>
          <w:lang w:eastAsia="fr-CA"/>
        </w:rPr>
      </w:pPr>
    </w:p>
    <w:sectPr w:rsidR="0070260B" w:rsidRPr="00B5716C" w:rsidSect="00B5716C">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EF671D" w14:textId="77777777" w:rsidR="00D66937" w:rsidRDefault="00D66937" w:rsidP="00B5716C">
      <w:pPr>
        <w:spacing w:after="0" w:line="240" w:lineRule="auto"/>
      </w:pPr>
      <w:r>
        <w:separator/>
      </w:r>
    </w:p>
  </w:endnote>
  <w:endnote w:type="continuationSeparator" w:id="0">
    <w:p w14:paraId="02B85559" w14:textId="77777777" w:rsidR="00D66937" w:rsidRDefault="00D66937" w:rsidP="00B5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C7382" w14:textId="77777777" w:rsidR="00612525" w:rsidRDefault="006125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0201331"/>
      <w:docPartObj>
        <w:docPartGallery w:val="Page Numbers (Bottom of Page)"/>
        <w:docPartUnique/>
      </w:docPartObj>
    </w:sdtPr>
    <w:sdtEndPr/>
    <w:sdtContent>
      <w:sdt>
        <w:sdtPr>
          <w:id w:val="-1769616900"/>
          <w:docPartObj>
            <w:docPartGallery w:val="Page Numbers (Top of Page)"/>
            <w:docPartUnique/>
          </w:docPartObj>
        </w:sdtPr>
        <w:sdtEndPr/>
        <w:sdtContent>
          <w:p w14:paraId="1615D307" w14:textId="60E01354" w:rsidR="00B5716C" w:rsidRDefault="00B5716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de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B3919D4" w14:textId="77777777" w:rsidR="00B5716C" w:rsidRDefault="00B57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DE357" w14:textId="77777777" w:rsidR="00612525" w:rsidRDefault="00612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42A7C" w14:textId="77777777" w:rsidR="00D66937" w:rsidRDefault="00D66937" w:rsidP="00B5716C">
      <w:pPr>
        <w:spacing w:after="0" w:line="240" w:lineRule="auto"/>
      </w:pPr>
      <w:r>
        <w:separator/>
      </w:r>
    </w:p>
  </w:footnote>
  <w:footnote w:type="continuationSeparator" w:id="0">
    <w:p w14:paraId="35CC5C70" w14:textId="77777777" w:rsidR="00D66937" w:rsidRDefault="00D66937" w:rsidP="00B5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868D1" w14:textId="77777777" w:rsidR="00612525" w:rsidRDefault="006125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5261A" w14:textId="77777777" w:rsidR="00612525" w:rsidRDefault="006125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43C16" w14:textId="77777777" w:rsidR="00612525" w:rsidRDefault="006125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21BFB"/>
    <w:multiLevelType w:val="hybridMultilevel"/>
    <w:tmpl w:val="A4D6265C"/>
    <w:lvl w:ilvl="0" w:tplc="A434D442">
      <w:start w:val="3"/>
      <w:numFmt w:val="bullet"/>
      <w:lvlText w:val="-"/>
      <w:lvlJc w:val="left"/>
      <w:pPr>
        <w:ind w:left="360" w:hanging="360"/>
      </w:pPr>
      <w:rPr>
        <w:rFonts w:ascii="Times" w:eastAsiaTheme="minorEastAsia" w:hAnsi="Times" w:cs="Times New Roman"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6C"/>
    <w:rsid w:val="0002149D"/>
    <w:rsid w:val="00040EDE"/>
    <w:rsid w:val="001A7D89"/>
    <w:rsid w:val="003577F8"/>
    <w:rsid w:val="003F31AA"/>
    <w:rsid w:val="0040324E"/>
    <w:rsid w:val="004661EB"/>
    <w:rsid w:val="00612525"/>
    <w:rsid w:val="00685436"/>
    <w:rsid w:val="0070260B"/>
    <w:rsid w:val="0075131C"/>
    <w:rsid w:val="00801491"/>
    <w:rsid w:val="00891788"/>
    <w:rsid w:val="00933C2C"/>
    <w:rsid w:val="009777C1"/>
    <w:rsid w:val="009A1094"/>
    <w:rsid w:val="009F257A"/>
    <w:rsid w:val="00A0510E"/>
    <w:rsid w:val="00B5716C"/>
    <w:rsid w:val="00BA408F"/>
    <w:rsid w:val="00C52E46"/>
    <w:rsid w:val="00C97D9B"/>
    <w:rsid w:val="00D66937"/>
    <w:rsid w:val="00E87960"/>
    <w:rsid w:val="00EA0C84"/>
    <w:rsid w:val="00F903F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73AE"/>
  <w15:chartTrackingRefBased/>
  <w15:docId w15:val="{B270FA4D-25A6-4530-B318-EEC7BCEC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716C"/>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Hyperlink">
    <w:name w:val="Hyperlink"/>
    <w:basedOn w:val="DefaultParagraphFont"/>
    <w:uiPriority w:val="99"/>
    <w:unhideWhenUsed/>
    <w:rsid w:val="00B5716C"/>
    <w:rPr>
      <w:color w:val="0000FF"/>
      <w:u w:val="single"/>
    </w:rPr>
  </w:style>
  <w:style w:type="paragraph" w:styleId="Header">
    <w:name w:val="header"/>
    <w:basedOn w:val="Normal"/>
    <w:link w:val="HeaderChar"/>
    <w:uiPriority w:val="99"/>
    <w:unhideWhenUsed/>
    <w:rsid w:val="00B571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B5716C"/>
  </w:style>
  <w:style w:type="paragraph" w:styleId="Footer">
    <w:name w:val="footer"/>
    <w:basedOn w:val="Normal"/>
    <w:link w:val="FooterChar"/>
    <w:uiPriority w:val="99"/>
    <w:unhideWhenUsed/>
    <w:rsid w:val="00B571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B5716C"/>
  </w:style>
  <w:style w:type="character" w:styleId="UnresolvedMention">
    <w:name w:val="Unresolved Mention"/>
    <w:basedOn w:val="DefaultParagraphFont"/>
    <w:uiPriority w:val="99"/>
    <w:semiHidden/>
    <w:unhideWhenUsed/>
    <w:rsid w:val="00612525"/>
    <w:rPr>
      <w:color w:val="605E5C"/>
      <w:shd w:val="clear" w:color="auto" w:fill="E1DFDD"/>
    </w:rPr>
  </w:style>
  <w:style w:type="paragraph" w:styleId="ListParagraph">
    <w:name w:val="List Paragraph"/>
    <w:basedOn w:val="Normal"/>
    <w:uiPriority w:val="34"/>
    <w:qFormat/>
    <w:rsid w:val="0070260B"/>
    <w:pPr>
      <w:spacing w:after="0" w:line="240" w:lineRule="auto"/>
      <w:ind w:left="720"/>
      <w:contextualSpacing/>
    </w:pPr>
    <w:rPr>
      <w:rFonts w:eastAsiaTheme="minorEastAsia"/>
      <w:sz w:val="24"/>
      <w:szCs w:val="24"/>
      <w:lang w:val="fr-FR" w:eastAsia="fr-FR"/>
    </w:rPr>
  </w:style>
  <w:style w:type="table" w:styleId="TableGrid">
    <w:name w:val="Table Grid"/>
    <w:basedOn w:val="TableNormal"/>
    <w:uiPriority w:val="1"/>
    <w:rsid w:val="0070260B"/>
    <w:pPr>
      <w:spacing w:after="0" w:line="240" w:lineRule="auto"/>
    </w:pPr>
    <w:rPr>
      <w:rFonts w:eastAsiaTheme="minorEastAsia"/>
      <w:sz w:val="24"/>
      <w:szCs w:val="24"/>
      <w:lang w:val="fr-FR"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777C1"/>
    <w:rPr>
      <w:b/>
      <w:bCs/>
    </w:rPr>
  </w:style>
  <w:style w:type="character" w:customStyle="1" w:styleId="familyname">
    <w:name w:val="familyname"/>
    <w:basedOn w:val="DefaultParagraphFont"/>
    <w:rsid w:val="009777C1"/>
  </w:style>
  <w:style w:type="character" w:styleId="Emphasis">
    <w:name w:val="Emphasis"/>
    <w:basedOn w:val="DefaultParagraphFont"/>
    <w:uiPriority w:val="20"/>
    <w:qFormat/>
    <w:rsid w:val="009777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818700">
      <w:bodyDiv w:val="1"/>
      <w:marLeft w:val="0"/>
      <w:marRight w:val="0"/>
      <w:marTop w:val="0"/>
      <w:marBottom w:val="0"/>
      <w:divBdr>
        <w:top w:val="none" w:sz="0" w:space="0" w:color="auto"/>
        <w:left w:val="none" w:sz="0" w:space="0" w:color="auto"/>
        <w:bottom w:val="none" w:sz="0" w:space="0" w:color="auto"/>
        <w:right w:val="none" w:sz="0" w:space="0" w:color="auto"/>
      </w:divBdr>
    </w:div>
    <w:div w:id="212612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canadianencyclopedia.ca/fr/article/royal-commission-on-aboriginal-peopl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eslibris.ca/IDFR/206975"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thecanadianencyclopedia.ca/fr/article/pensionnats" TargetMode="External"/><Relationship Id="rId4" Type="http://schemas.openxmlformats.org/officeDocument/2006/relationships/webSettings" Target="webSettings.xml"/><Relationship Id="rId9" Type="http://schemas.openxmlformats.org/officeDocument/2006/relationships/hyperlink" Target="http://www.cerp.gouv.qc.c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3450</Words>
  <Characters>18980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Théberge</dc:creator>
  <cp:keywords/>
  <dc:description/>
  <cp:lastModifiedBy>Catherine Théberge</cp:lastModifiedBy>
  <cp:revision>5</cp:revision>
  <dcterms:created xsi:type="dcterms:W3CDTF">2021-01-04T15:41:00Z</dcterms:created>
  <dcterms:modified xsi:type="dcterms:W3CDTF">2021-01-17T15:54:00Z</dcterms:modified>
</cp:coreProperties>
</file>